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FFABA" w14:textId="22331750" w:rsidR="0041126D" w:rsidRPr="004D40EA" w:rsidRDefault="0041126D" w:rsidP="0041126D">
      <w:pPr>
        <w:pStyle w:val="Heading2AA"/>
        <w:tabs>
          <w:tab w:val="left" w:pos="7980"/>
        </w:tabs>
        <w:spacing w:before="0" w:after="0"/>
        <w:contextualSpacing/>
        <w:outlineLvl w:val="9"/>
        <w:rPr>
          <w:rFonts w:ascii="Avenir Next LT Pro" w:hAnsi="Avenir Next LT Pro"/>
          <w:sz w:val="22"/>
          <w:szCs w:val="22"/>
        </w:rPr>
      </w:pPr>
      <w:bookmarkStart w:id="0" w:name="_Toc291665159"/>
      <w:r w:rsidRPr="004D40EA">
        <w:rPr>
          <w:rFonts w:ascii="Avenir Next LT Pro" w:hAnsi="Avenir Next LT Pro"/>
          <w:sz w:val="22"/>
          <w:szCs w:val="22"/>
        </w:rPr>
        <w:tab/>
      </w:r>
    </w:p>
    <w:p w14:paraId="79929ED0" w14:textId="77777777" w:rsidR="0041126D" w:rsidRPr="004D40EA" w:rsidRDefault="0041126D" w:rsidP="0041126D">
      <w:pPr>
        <w:pStyle w:val="Heading2AA"/>
        <w:spacing w:before="0" w:after="0"/>
        <w:contextualSpacing/>
        <w:outlineLvl w:val="9"/>
        <w:rPr>
          <w:rFonts w:ascii="Avenir Next LT Pro" w:hAnsi="Avenir Next LT Pro"/>
          <w:sz w:val="22"/>
          <w:szCs w:val="22"/>
        </w:rPr>
      </w:pPr>
    </w:p>
    <w:p w14:paraId="08E38B53"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bookmarkStart w:id="1" w:name="TOC234227545"/>
      <w:bookmarkStart w:id="2" w:name="_Toc291240357"/>
      <w:bookmarkEnd w:id="1"/>
    </w:p>
    <w:p w14:paraId="1C64A913"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5CB70109"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73AFACE1"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3588222F"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42943506"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p>
    <w:p w14:paraId="4AC2F9C0" w14:textId="77777777" w:rsidR="0041126D" w:rsidRPr="004D40EA" w:rsidRDefault="0041126D" w:rsidP="0041126D">
      <w:pPr>
        <w:spacing w:after="0" w:line="240" w:lineRule="auto"/>
        <w:contextualSpacing/>
        <w:jc w:val="center"/>
        <w:rPr>
          <w:rStyle w:val="Strong1"/>
          <w:rFonts w:ascii="Avenir Next LT Pro" w:hAnsi="Avenir Next LT Pro"/>
          <w:sz w:val="36"/>
          <w:szCs w:val="36"/>
          <w:u w:val="single"/>
        </w:rPr>
      </w:pPr>
      <w:r w:rsidRPr="004D40EA">
        <w:rPr>
          <w:rStyle w:val="Strong1"/>
          <w:rFonts w:ascii="Avenir Next LT Pro" w:hAnsi="Avenir Next LT Pro"/>
          <w:sz w:val="36"/>
          <w:szCs w:val="36"/>
          <w:u w:val="single"/>
        </w:rPr>
        <w:t>AmeriCorps Performance Measures Instructions</w:t>
      </w:r>
    </w:p>
    <w:p w14:paraId="34F41B09" w14:textId="77777777" w:rsidR="0041126D" w:rsidRPr="004D40EA" w:rsidRDefault="0041126D" w:rsidP="0041126D">
      <w:pPr>
        <w:spacing w:after="0" w:line="240" w:lineRule="auto"/>
        <w:contextualSpacing/>
        <w:jc w:val="center"/>
        <w:rPr>
          <w:rStyle w:val="Strong1"/>
          <w:rFonts w:ascii="Avenir Next LT Pro" w:hAnsi="Avenir Next LT Pro"/>
          <w:sz w:val="32"/>
          <w:szCs w:val="32"/>
        </w:rPr>
      </w:pPr>
    </w:p>
    <w:p w14:paraId="13BDEB69" w14:textId="77777777" w:rsidR="0041126D" w:rsidRPr="004D40EA" w:rsidRDefault="0041126D" w:rsidP="0041126D">
      <w:pPr>
        <w:spacing w:after="0" w:line="240" w:lineRule="auto"/>
        <w:contextualSpacing/>
        <w:jc w:val="center"/>
        <w:rPr>
          <w:rStyle w:val="Strong1"/>
          <w:rFonts w:ascii="Avenir Next LT Pro" w:hAnsi="Avenir Next LT Pro"/>
          <w:sz w:val="32"/>
          <w:szCs w:val="32"/>
        </w:rPr>
      </w:pPr>
      <w:r w:rsidRPr="004D40EA">
        <w:rPr>
          <w:rStyle w:val="Strong1"/>
          <w:rFonts w:ascii="Avenir Next LT Pro" w:hAnsi="Avenir Next LT Pro"/>
          <w:sz w:val="32"/>
          <w:szCs w:val="32"/>
        </w:rPr>
        <w:t>AmeriCorps State and National</w:t>
      </w:r>
    </w:p>
    <w:p w14:paraId="77FCC507" w14:textId="77777777" w:rsidR="0041126D" w:rsidRPr="004D40EA" w:rsidRDefault="0041126D" w:rsidP="0041126D">
      <w:pPr>
        <w:spacing w:after="0" w:line="240" w:lineRule="auto"/>
        <w:contextualSpacing/>
        <w:jc w:val="center"/>
        <w:rPr>
          <w:rStyle w:val="Strong1"/>
          <w:rFonts w:ascii="Avenir Next LT Pro" w:hAnsi="Avenir Next LT Pro"/>
          <w:sz w:val="32"/>
          <w:szCs w:val="32"/>
        </w:rPr>
      </w:pPr>
    </w:p>
    <w:p w14:paraId="371F8BFD" w14:textId="78DB7845" w:rsidR="0041126D" w:rsidRPr="004D40EA" w:rsidRDefault="0041126D" w:rsidP="0041126D">
      <w:pPr>
        <w:spacing w:after="0" w:line="240" w:lineRule="auto"/>
        <w:contextualSpacing/>
        <w:jc w:val="center"/>
        <w:rPr>
          <w:rStyle w:val="Strong1"/>
          <w:rFonts w:ascii="Avenir Next LT Pro" w:hAnsi="Avenir Next LT Pro"/>
          <w:sz w:val="32"/>
          <w:szCs w:val="32"/>
        </w:rPr>
      </w:pPr>
      <w:r w:rsidRPr="004D40EA">
        <w:rPr>
          <w:rStyle w:val="Strong1"/>
          <w:rFonts w:ascii="Avenir Next LT Pro" w:hAnsi="Avenir Next LT Pro"/>
          <w:sz w:val="32"/>
          <w:szCs w:val="32"/>
        </w:rPr>
        <w:t>202</w:t>
      </w:r>
      <w:r w:rsidR="00192313">
        <w:rPr>
          <w:rStyle w:val="Strong1"/>
          <w:rFonts w:ascii="Avenir Next LT Pro" w:hAnsi="Avenir Next LT Pro"/>
          <w:sz w:val="32"/>
          <w:szCs w:val="32"/>
        </w:rPr>
        <w:t>4</w:t>
      </w:r>
      <w:r w:rsidRPr="004D40EA">
        <w:rPr>
          <w:rStyle w:val="Strong1"/>
          <w:rFonts w:ascii="Avenir Next LT Pro" w:hAnsi="Avenir Next LT Pro"/>
          <w:sz w:val="32"/>
          <w:szCs w:val="32"/>
        </w:rPr>
        <w:t xml:space="preserve"> </w:t>
      </w:r>
    </w:p>
    <w:p w14:paraId="504A38DC" w14:textId="77777777" w:rsidR="0041126D" w:rsidRPr="004D40EA" w:rsidRDefault="0041126D" w:rsidP="0041126D">
      <w:pPr>
        <w:spacing w:after="0" w:line="240" w:lineRule="auto"/>
        <w:contextualSpacing/>
        <w:jc w:val="center"/>
        <w:rPr>
          <w:rStyle w:val="Strong1"/>
          <w:rFonts w:ascii="Avenir Next LT Pro" w:hAnsi="Avenir Next LT Pro"/>
          <w:sz w:val="32"/>
          <w:szCs w:val="32"/>
        </w:rPr>
      </w:pPr>
    </w:p>
    <w:p w14:paraId="4A74227E" w14:textId="77777777" w:rsidR="0041126D" w:rsidRPr="004D40EA" w:rsidRDefault="0041126D" w:rsidP="0041126D">
      <w:pPr>
        <w:spacing w:after="0" w:line="240" w:lineRule="auto"/>
        <w:contextualSpacing/>
        <w:jc w:val="center"/>
        <w:rPr>
          <w:rStyle w:val="Strong1"/>
          <w:rFonts w:ascii="Avenir Next LT Pro" w:hAnsi="Avenir Next LT Pro"/>
          <w:i/>
          <w:sz w:val="32"/>
          <w:szCs w:val="32"/>
        </w:rPr>
      </w:pPr>
    </w:p>
    <w:p w14:paraId="645C1C0E" w14:textId="77777777" w:rsidR="0041126D" w:rsidRPr="004D40EA" w:rsidRDefault="0041126D" w:rsidP="0041126D">
      <w:pPr>
        <w:rPr>
          <w:rStyle w:val="Strong1"/>
          <w:rFonts w:ascii="Avenir Next LT Pro" w:hAnsi="Avenir Next LT Pro"/>
          <w:sz w:val="32"/>
          <w:szCs w:val="32"/>
        </w:rPr>
      </w:pPr>
      <w:r w:rsidRPr="004D40EA">
        <w:rPr>
          <w:rStyle w:val="Strong1"/>
          <w:rFonts w:ascii="Avenir Next LT Pro" w:hAnsi="Avenir Next LT Pro"/>
          <w:sz w:val="32"/>
          <w:szCs w:val="32"/>
        </w:rPr>
        <w:br w:type="page"/>
      </w:r>
    </w:p>
    <w:p w14:paraId="3CAD2E96" w14:textId="46811DAB" w:rsidR="0041126D" w:rsidRPr="004D40EA" w:rsidRDefault="0041126D" w:rsidP="0041126D">
      <w:pPr>
        <w:pStyle w:val="TOCHeading"/>
        <w:rPr>
          <w:rFonts w:ascii="Avenir Next LT Pro" w:hAnsi="Avenir Next LT Pro"/>
        </w:rPr>
      </w:pPr>
      <w:r w:rsidRPr="004D40EA">
        <w:rPr>
          <w:rFonts w:ascii="Avenir Next LT Pro" w:hAnsi="Avenir Next LT Pro"/>
        </w:rPr>
        <w:lastRenderedPageBreak/>
        <w:t>Table of Contents</w:t>
      </w:r>
      <w:r>
        <w:br/>
      </w:r>
    </w:p>
    <w:p w14:paraId="5AE100BD" w14:textId="77777777" w:rsidR="0041126D" w:rsidRPr="004D40EA" w:rsidRDefault="0041126D" w:rsidP="0041126D">
      <w:pPr>
        <w:pStyle w:val="TOC1"/>
        <w:rPr>
          <w:rFonts w:ascii="Avenir Next LT Pro" w:hAnsi="Avenir Next LT Pro"/>
        </w:rPr>
      </w:pPr>
      <w:r w:rsidRPr="004D40EA">
        <w:rPr>
          <w:rFonts w:ascii="Avenir Next LT Pro" w:hAnsi="Avenir Next LT Pro"/>
        </w:rPr>
        <w:fldChar w:fldCharType="begin"/>
      </w:r>
      <w:r w:rsidRPr="004D40EA">
        <w:rPr>
          <w:rFonts w:ascii="Avenir Next LT Pro" w:hAnsi="Avenir Next LT Pro"/>
        </w:rPr>
        <w:instrText xml:space="preserve"> TOC \o "1-3" \h \z \u </w:instrText>
      </w:r>
      <w:r w:rsidRPr="004D40EA">
        <w:rPr>
          <w:rFonts w:ascii="Avenir Next LT Pro" w:hAnsi="Avenir Next LT Pro"/>
        </w:rPr>
        <w:fldChar w:fldCharType="separate"/>
      </w:r>
      <w:hyperlink w:anchor="_Toc518377548" w:history="1">
        <w:r w:rsidRPr="004D40EA">
          <w:rPr>
            <w:rStyle w:val="Hyperlink"/>
            <w:rFonts w:ascii="Avenir Next LT Pro" w:hAnsi="Avenir Next LT Pro"/>
          </w:rPr>
          <w:t>AmeriCorps State and National Performance Measure Requirements</w:t>
        </w:r>
        <w:r w:rsidRPr="004D40EA">
          <w:rPr>
            <w:rFonts w:ascii="Avenir Next LT Pro" w:hAnsi="Avenir Next LT Pro"/>
            <w:webHidden/>
          </w:rPr>
          <w:tab/>
        </w:r>
        <w:r w:rsidRPr="004D40EA">
          <w:rPr>
            <w:rFonts w:ascii="Avenir Next LT Pro" w:hAnsi="Avenir Next LT Pro"/>
            <w:webHidden/>
          </w:rPr>
          <w:fldChar w:fldCharType="begin"/>
        </w:r>
        <w:r w:rsidRPr="004D40EA">
          <w:rPr>
            <w:rFonts w:ascii="Avenir Next LT Pro" w:hAnsi="Avenir Next LT Pro"/>
            <w:webHidden/>
          </w:rPr>
          <w:instrText xml:space="preserve"> PAGEREF _Toc518377548 \h </w:instrText>
        </w:r>
        <w:r w:rsidRPr="004D40EA">
          <w:rPr>
            <w:rFonts w:ascii="Avenir Next LT Pro" w:hAnsi="Avenir Next LT Pro"/>
            <w:webHidden/>
          </w:rPr>
        </w:r>
        <w:r w:rsidRPr="004D40EA">
          <w:rPr>
            <w:rFonts w:ascii="Avenir Next LT Pro" w:hAnsi="Avenir Next LT Pro"/>
            <w:webHidden/>
          </w:rPr>
          <w:fldChar w:fldCharType="separate"/>
        </w:r>
        <w:r w:rsidRPr="004D40EA">
          <w:rPr>
            <w:rFonts w:ascii="Avenir Next LT Pro" w:hAnsi="Avenir Next LT Pro"/>
            <w:webHidden/>
          </w:rPr>
          <w:t>3</w:t>
        </w:r>
        <w:r w:rsidRPr="004D40EA">
          <w:rPr>
            <w:rFonts w:ascii="Avenir Next LT Pro" w:hAnsi="Avenir Next LT Pro"/>
            <w:webHidden/>
          </w:rPr>
          <w:fldChar w:fldCharType="end"/>
        </w:r>
      </w:hyperlink>
    </w:p>
    <w:p w14:paraId="04E6411C" w14:textId="77777777" w:rsidR="0041126D" w:rsidRPr="004D40EA" w:rsidRDefault="00496ED5" w:rsidP="0041126D">
      <w:pPr>
        <w:pStyle w:val="TOC1"/>
        <w:rPr>
          <w:rFonts w:ascii="Avenir Next LT Pro" w:hAnsi="Avenir Next LT Pro"/>
        </w:rPr>
      </w:pPr>
      <w:hyperlink w:anchor="_Toc518377549" w:history="1">
        <w:r w:rsidR="0041126D" w:rsidRPr="004D40EA">
          <w:rPr>
            <w:rStyle w:val="Hyperlink"/>
            <w:rFonts w:ascii="Avenir Next LT Pro" w:hAnsi="Avenir Next LT Pro"/>
          </w:rPr>
          <w:t>AmeriCorps State and National Performance Measures Selection Rules</w:t>
        </w:r>
        <w:r w:rsidR="0041126D" w:rsidRPr="004D40EA">
          <w:rPr>
            <w:rFonts w:ascii="Avenir Next LT Pro" w:hAnsi="Avenir Next LT Pro"/>
            <w:webHidden/>
          </w:rPr>
          <w:tab/>
        </w:r>
        <w:r w:rsidR="0041126D" w:rsidRPr="004D40EA">
          <w:rPr>
            <w:rFonts w:ascii="Avenir Next LT Pro" w:hAnsi="Avenir Next LT Pro"/>
            <w:webHidden/>
          </w:rPr>
          <w:fldChar w:fldCharType="begin"/>
        </w:r>
        <w:r w:rsidR="0041126D" w:rsidRPr="004D40EA">
          <w:rPr>
            <w:rFonts w:ascii="Avenir Next LT Pro" w:hAnsi="Avenir Next LT Pro"/>
            <w:webHidden/>
          </w:rPr>
          <w:instrText xml:space="preserve"> PAGEREF _Toc518377549 \h </w:instrText>
        </w:r>
        <w:r w:rsidR="0041126D" w:rsidRPr="004D40EA">
          <w:rPr>
            <w:rFonts w:ascii="Avenir Next LT Pro" w:hAnsi="Avenir Next LT Pro"/>
            <w:webHidden/>
          </w:rPr>
        </w:r>
        <w:r w:rsidR="0041126D" w:rsidRPr="004D40EA">
          <w:rPr>
            <w:rFonts w:ascii="Avenir Next LT Pro" w:hAnsi="Avenir Next LT Pro"/>
            <w:webHidden/>
          </w:rPr>
          <w:fldChar w:fldCharType="separate"/>
        </w:r>
        <w:r w:rsidR="0041126D" w:rsidRPr="004D40EA">
          <w:rPr>
            <w:rFonts w:ascii="Avenir Next LT Pro" w:hAnsi="Avenir Next LT Pro"/>
            <w:webHidden/>
          </w:rPr>
          <w:t>4</w:t>
        </w:r>
        <w:r w:rsidR="0041126D" w:rsidRPr="004D40EA">
          <w:rPr>
            <w:rFonts w:ascii="Avenir Next LT Pro" w:hAnsi="Avenir Next LT Pro"/>
            <w:webHidden/>
          </w:rPr>
          <w:fldChar w:fldCharType="end"/>
        </w:r>
      </w:hyperlink>
    </w:p>
    <w:p w14:paraId="105C789C" w14:textId="77777777" w:rsidR="0041126D" w:rsidRPr="004D40EA" w:rsidRDefault="00496ED5" w:rsidP="0041126D">
      <w:pPr>
        <w:pStyle w:val="TOC1"/>
        <w:rPr>
          <w:rFonts w:ascii="Avenir Next LT Pro" w:hAnsi="Avenir Next LT Pro"/>
        </w:rPr>
      </w:pPr>
      <w:hyperlink w:anchor="_Toc518377550" w:history="1">
        <w:r w:rsidR="0041126D" w:rsidRPr="004D40EA">
          <w:rPr>
            <w:rStyle w:val="Hyperlink"/>
            <w:rFonts w:ascii="Avenir Next LT Pro" w:eastAsia="ヒラギノ角ゴ Pro W3" w:hAnsi="Avenir Next LT Pro"/>
          </w:rPr>
          <w:t>CAPACITY BUILDING</w:t>
        </w:r>
        <w:r w:rsidR="0041126D" w:rsidRPr="004D40EA">
          <w:rPr>
            <w:rFonts w:ascii="Avenir Next LT Pro" w:hAnsi="Avenir Next LT Pro"/>
            <w:webHidden/>
          </w:rPr>
          <w:tab/>
        </w:r>
        <w:r w:rsidR="0041126D" w:rsidRPr="004D40EA">
          <w:rPr>
            <w:rFonts w:ascii="Avenir Next LT Pro" w:hAnsi="Avenir Next LT Pro"/>
            <w:webHidden/>
          </w:rPr>
          <w:fldChar w:fldCharType="begin"/>
        </w:r>
        <w:r w:rsidR="0041126D" w:rsidRPr="004D40EA">
          <w:rPr>
            <w:rFonts w:ascii="Avenir Next LT Pro" w:hAnsi="Avenir Next LT Pro"/>
            <w:webHidden/>
          </w:rPr>
          <w:instrText xml:space="preserve"> PAGEREF _Toc518377550 \h </w:instrText>
        </w:r>
        <w:r w:rsidR="0041126D" w:rsidRPr="004D40EA">
          <w:rPr>
            <w:rFonts w:ascii="Avenir Next LT Pro" w:hAnsi="Avenir Next LT Pro"/>
            <w:webHidden/>
          </w:rPr>
        </w:r>
        <w:r w:rsidR="0041126D" w:rsidRPr="004D40EA">
          <w:rPr>
            <w:rFonts w:ascii="Avenir Next LT Pro" w:hAnsi="Avenir Next LT Pro"/>
            <w:webHidden/>
          </w:rPr>
          <w:fldChar w:fldCharType="separate"/>
        </w:r>
        <w:r w:rsidR="0041126D" w:rsidRPr="004D40EA">
          <w:rPr>
            <w:rFonts w:ascii="Avenir Next LT Pro" w:hAnsi="Avenir Next LT Pro"/>
            <w:webHidden/>
          </w:rPr>
          <w:t>10</w:t>
        </w:r>
        <w:r w:rsidR="0041126D" w:rsidRPr="004D40EA">
          <w:rPr>
            <w:rFonts w:ascii="Avenir Next LT Pro" w:hAnsi="Avenir Next LT Pro"/>
            <w:webHidden/>
          </w:rPr>
          <w:fldChar w:fldCharType="end"/>
        </w:r>
      </w:hyperlink>
    </w:p>
    <w:p w14:paraId="468BBD4E" w14:textId="77777777" w:rsidR="0041126D" w:rsidRPr="004D40EA" w:rsidRDefault="00496ED5" w:rsidP="0041126D">
      <w:pPr>
        <w:pStyle w:val="TOC1"/>
        <w:rPr>
          <w:rFonts w:ascii="Avenir Next LT Pro" w:hAnsi="Avenir Next LT Pro"/>
        </w:rPr>
      </w:pPr>
      <w:hyperlink w:anchor="_Toc518377551" w:history="1">
        <w:r w:rsidR="0041126D" w:rsidRPr="004D40EA">
          <w:rPr>
            <w:rStyle w:val="Hyperlink"/>
            <w:rFonts w:ascii="Avenir Next LT Pro" w:eastAsia="ヒラギノ角ゴ Pro W3" w:hAnsi="Avenir Next LT Pro"/>
          </w:rPr>
          <w:t>DISASTER SERVICES</w:t>
        </w:r>
        <w:r w:rsidR="0041126D" w:rsidRPr="004D40EA">
          <w:rPr>
            <w:rFonts w:ascii="Avenir Next LT Pro" w:hAnsi="Avenir Next LT Pro"/>
            <w:webHidden/>
          </w:rPr>
          <w:tab/>
        </w:r>
        <w:r w:rsidR="0041126D" w:rsidRPr="004D40EA">
          <w:rPr>
            <w:rFonts w:ascii="Avenir Next LT Pro" w:hAnsi="Avenir Next LT Pro"/>
            <w:webHidden/>
          </w:rPr>
          <w:fldChar w:fldCharType="begin"/>
        </w:r>
        <w:r w:rsidR="0041126D" w:rsidRPr="004D40EA">
          <w:rPr>
            <w:rFonts w:ascii="Avenir Next LT Pro" w:hAnsi="Avenir Next LT Pro"/>
            <w:webHidden/>
          </w:rPr>
          <w:instrText xml:space="preserve"> PAGEREF _Toc518377551 \h </w:instrText>
        </w:r>
        <w:r w:rsidR="0041126D" w:rsidRPr="004D40EA">
          <w:rPr>
            <w:rFonts w:ascii="Avenir Next LT Pro" w:hAnsi="Avenir Next LT Pro"/>
            <w:webHidden/>
          </w:rPr>
        </w:r>
        <w:r w:rsidR="0041126D" w:rsidRPr="004D40EA">
          <w:rPr>
            <w:rFonts w:ascii="Avenir Next LT Pro" w:hAnsi="Avenir Next LT Pro"/>
            <w:webHidden/>
          </w:rPr>
          <w:fldChar w:fldCharType="separate"/>
        </w:r>
        <w:r w:rsidR="0041126D" w:rsidRPr="004D40EA">
          <w:rPr>
            <w:rFonts w:ascii="Avenir Next LT Pro" w:hAnsi="Avenir Next LT Pro"/>
            <w:webHidden/>
          </w:rPr>
          <w:t>11</w:t>
        </w:r>
        <w:r w:rsidR="0041126D" w:rsidRPr="004D40EA">
          <w:rPr>
            <w:rFonts w:ascii="Avenir Next LT Pro" w:hAnsi="Avenir Next LT Pro"/>
            <w:webHidden/>
          </w:rPr>
          <w:fldChar w:fldCharType="end"/>
        </w:r>
      </w:hyperlink>
    </w:p>
    <w:p w14:paraId="79EA41DC" w14:textId="77777777" w:rsidR="0041126D" w:rsidRPr="004D40EA" w:rsidRDefault="00496ED5" w:rsidP="0041126D">
      <w:pPr>
        <w:pStyle w:val="TOC1"/>
        <w:rPr>
          <w:rFonts w:ascii="Avenir Next LT Pro" w:hAnsi="Avenir Next LT Pro"/>
        </w:rPr>
      </w:pPr>
      <w:hyperlink w:anchor="_Toc518377552" w:history="1">
        <w:r w:rsidR="0041126D" w:rsidRPr="004D40EA">
          <w:rPr>
            <w:rStyle w:val="Hyperlink"/>
            <w:rFonts w:ascii="Avenir Next LT Pro" w:eastAsia="ヒラギノ角ゴ Pro W3" w:hAnsi="Avenir Next LT Pro"/>
          </w:rPr>
          <w:t>ECONOMIC OPPORTUNITY</w:t>
        </w:r>
        <w:r w:rsidR="0041126D" w:rsidRPr="004D40EA">
          <w:rPr>
            <w:rFonts w:ascii="Avenir Next LT Pro" w:hAnsi="Avenir Next LT Pro"/>
            <w:webHidden/>
          </w:rPr>
          <w:tab/>
        </w:r>
        <w:r w:rsidR="0041126D" w:rsidRPr="004D40EA">
          <w:rPr>
            <w:rFonts w:ascii="Avenir Next LT Pro" w:hAnsi="Avenir Next LT Pro"/>
            <w:webHidden/>
          </w:rPr>
          <w:fldChar w:fldCharType="begin"/>
        </w:r>
        <w:r w:rsidR="0041126D" w:rsidRPr="004D40EA">
          <w:rPr>
            <w:rFonts w:ascii="Avenir Next LT Pro" w:hAnsi="Avenir Next LT Pro"/>
            <w:webHidden/>
          </w:rPr>
          <w:instrText xml:space="preserve"> PAGEREF _Toc518377552 \h </w:instrText>
        </w:r>
        <w:r w:rsidR="0041126D" w:rsidRPr="004D40EA">
          <w:rPr>
            <w:rFonts w:ascii="Avenir Next LT Pro" w:hAnsi="Avenir Next LT Pro"/>
            <w:webHidden/>
          </w:rPr>
        </w:r>
        <w:r w:rsidR="0041126D" w:rsidRPr="004D40EA">
          <w:rPr>
            <w:rFonts w:ascii="Avenir Next LT Pro" w:hAnsi="Avenir Next LT Pro"/>
            <w:webHidden/>
          </w:rPr>
          <w:fldChar w:fldCharType="separate"/>
        </w:r>
        <w:r w:rsidR="0041126D" w:rsidRPr="004D40EA">
          <w:rPr>
            <w:rFonts w:ascii="Avenir Next LT Pro" w:hAnsi="Avenir Next LT Pro"/>
            <w:webHidden/>
          </w:rPr>
          <w:t>12</w:t>
        </w:r>
        <w:r w:rsidR="0041126D" w:rsidRPr="004D40EA">
          <w:rPr>
            <w:rFonts w:ascii="Avenir Next LT Pro" w:hAnsi="Avenir Next LT Pro"/>
            <w:webHidden/>
          </w:rPr>
          <w:fldChar w:fldCharType="end"/>
        </w:r>
      </w:hyperlink>
    </w:p>
    <w:p w14:paraId="2AED7DAC" w14:textId="77777777" w:rsidR="0041126D" w:rsidRPr="004D40EA" w:rsidRDefault="00496ED5" w:rsidP="0041126D">
      <w:pPr>
        <w:pStyle w:val="TOC1"/>
        <w:rPr>
          <w:rFonts w:ascii="Avenir Next LT Pro" w:hAnsi="Avenir Next LT Pro"/>
        </w:rPr>
      </w:pPr>
      <w:hyperlink w:anchor="_Toc518377553" w:history="1">
        <w:r w:rsidR="0041126D" w:rsidRPr="004D40EA">
          <w:rPr>
            <w:rStyle w:val="Hyperlink"/>
            <w:rFonts w:ascii="Avenir Next LT Pro" w:eastAsia="ヒラギノ角ゴ Pro W3" w:hAnsi="Avenir Next LT Pro"/>
          </w:rPr>
          <w:t>EDUCATION</w:t>
        </w:r>
        <w:r w:rsidR="0041126D" w:rsidRPr="004D40EA">
          <w:rPr>
            <w:rFonts w:ascii="Avenir Next LT Pro" w:hAnsi="Avenir Next LT Pro"/>
            <w:webHidden/>
          </w:rPr>
          <w:tab/>
        </w:r>
        <w:r w:rsidR="0041126D" w:rsidRPr="004D40EA">
          <w:rPr>
            <w:rFonts w:ascii="Avenir Next LT Pro" w:hAnsi="Avenir Next LT Pro"/>
            <w:webHidden/>
          </w:rPr>
          <w:fldChar w:fldCharType="begin"/>
        </w:r>
        <w:r w:rsidR="0041126D" w:rsidRPr="004D40EA">
          <w:rPr>
            <w:rFonts w:ascii="Avenir Next LT Pro" w:hAnsi="Avenir Next LT Pro"/>
            <w:webHidden/>
          </w:rPr>
          <w:instrText xml:space="preserve"> PAGEREF _Toc518377553 \h </w:instrText>
        </w:r>
        <w:r w:rsidR="0041126D" w:rsidRPr="004D40EA">
          <w:rPr>
            <w:rFonts w:ascii="Avenir Next LT Pro" w:hAnsi="Avenir Next LT Pro"/>
            <w:webHidden/>
          </w:rPr>
        </w:r>
        <w:r w:rsidR="0041126D" w:rsidRPr="004D40EA">
          <w:rPr>
            <w:rFonts w:ascii="Avenir Next LT Pro" w:hAnsi="Avenir Next LT Pro"/>
            <w:webHidden/>
          </w:rPr>
          <w:fldChar w:fldCharType="separate"/>
        </w:r>
        <w:r w:rsidR="0041126D" w:rsidRPr="004D40EA">
          <w:rPr>
            <w:rFonts w:ascii="Avenir Next LT Pro" w:hAnsi="Avenir Next LT Pro"/>
            <w:webHidden/>
          </w:rPr>
          <w:t>14</w:t>
        </w:r>
        <w:r w:rsidR="0041126D" w:rsidRPr="004D40EA">
          <w:rPr>
            <w:rFonts w:ascii="Avenir Next LT Pro" w:hAnsi="Avenir Next LT Pro"/>
            <w:webHidden/>
          </w:rPr>
          <w:fldChar w:fldCharType="end"/>
        </w:r>
      </w:hyperlink>
    </w:p>
    <w:p w14:paraId="73FB06EC" w14:textId="77777777" w:rsidR="0041126D" w:rsidRPr="004D40EA" w:rsidRDefault="00496ED5" w:rsidP="0041126D">
      <w:pPr>
        <w:pStyle w:val="TOC1"/>
        <w:rPr>
          <w:rFonts w:ascii="Avenir Next LT Pro" w:hAnsi="Avenir Next LT Pro"/>
        </w:rPr>
      </w:pPr>
      <w:hyperlink w:anchor="_Toc518377554" w:history="1">
        <w:r w:rsidR="0041126D" w:rsidRPr="004D40EA">
          <w:rPr>
            <w:rStyle w:val="Hyperlink"/>
            <w:rFonts w:ascii="Avenir Next LT Pro" w:eastAsia="ヒラギノ角ゴ Pro W3" w:hAnsi="Avenir Next LT Pro"/>
          </w:rPr>
          <w:t>ENVIRONMENTAL STEWARDSHIP</w:t>
        </w:r>
        <w:r w:rsidR="0041126D" w:rsidRPr="004D40EA">
          <w:rPr>
            <w:rFonts w:ascii="Avenir Next LT Pro" w:hAnsi="Avenir Next LT Pro"/>
            <w:webHidden/>
          </w:rPr>
          <w:tab/>
        </w:r>
        <w:r w:rsidR="0041126D" w:rsidRPr="004D40EA">
          <w:rPr>
            <w:rFonts w:ascii="Avenir Next LT Pro" w:hAnsi="Avenir Next LT Pro"/>
            <w:webHidden/>
          </w:rPr>
          <w:fldChar w:fldCharType="begin"/>
        </w:r>
        <w:r w:rsidR="0041126D" w:rsidRPr="004D40EA">
          <w:rPr>
            <w:rFonts w:ascii="Avenir Next LT Pro" w:hAnsi="Avenir Next LT Pro"/>
            <w:webHidden/>
          </w:rPr>
          <w:instrText xml:space="preserve"> PAGEREF _Toc518377554 \h </w:instrText>
        </w:r>
        <w:r w:rsidR="0041126D" w:rsidRPr="004D40EA">
          <w:rPr>
            <w:rFonts w:ascii="Avenir Next LT Pro" w:hAnsi="Avenir Next LT Pro"/>
            <w:webHidden/>
          </w:rPr>
        </w:r>
        <w:r w:rsidR="0041126D" w:rsidRPr="004D40EA">
          <w:rPr>
            <w:rFonts w:ascii="Avenir Next LT Pro" w:hAnsi="Avenir Next LT Pro"/>
            <w:webHidden/>
          </w:rPr>
          <w:fldChar w:fldCharType="separate"/>
        </w:r>
        <w:r w:rsidR="0041126D" w:rsidRPr="004D40EA">
          <w:rPr>
            <w:rFonts w:ascii="Avenir Next LT Pro" w:hAnsi="Avenir Next LT Pro"/>
            <w:webHidden/>
          </w:rPr>
          <w:t>17</w:t>
        </w:r>
        <w:r w:rsidR="0041126D" w:rsidRPr="004D40EA">
          <w:rPr>
            <w:rFonts w:ascii="Avenir Next LT Pro" w:hAnsi="Avenir Next LT Pro"/>
            <w:webHidden/>
          </w:rPr>
          <w:fldChar w:fldCharType="end"/>
        </w:r>
      </w:hyperlink>
    </w:p>
    <w:p w14:paraId="00458AF8" w14:textId="77777777" w:rsidR="0041126D" w:rsidRPr="004D40EA" w:rsidRDefault="00496ED5" w:rsidP="0041126D">
      <w:pPr>
        <w:pStyle w:val="TOC1"/>
        <w:rPr>
          <w:rFonts w:ascii="Avenir Next LT Pro" w:hAnsi="Avenir Next LT Pro"/>
        </w:rPr>
      </w:pPr>
      <w:hyperlink w:anchor="_Toc518377555" w:history="1">
        <w:r w:rsidR="0041126D" w:rsidRPr="004D40EA">
          <w:rPr>
            <w:rStyle w:val="Hyperlink"/>
            <w:rFonts w:ascii="Avenir Next LT Pro" w:eastAsia="ヒラギノ角ゴ Pro W3" w:hAnsi="Avenir Next LT Pro"/>
          </w:rPr>
          <w:t>HEALTHY FUTURES</w:t>
        </w:r>
        <w:r w:rsidR="0041126D" w:rsidRPr="004D40EA">
          <w:rPr>
            <w:rFonts w:ascii="Avenir Next LT Pro" w:hAnsi="Avenir Next LT Pro"/>
            <w:webHidden/>
          </w:rPr>
          <w:tab/>
        </w:r>
        <w:r w:rsidR="0041126D" w:rsidRPr="004D40EA">
          <w:rPr>
            <w:rFonts w:ascii="Avenir Next LT Pro" w:hAnsi="Avenir Next LT Pro"/>
            <w:webHidden/>
          </w:rPr>
          <w:fldChar w:fldCharType="begin"/>
        </w:r>
        <w:r w:rsidR="0041126D" w:rsidRPr="004D40EA">
          <w:rPr>
            <w:rFonts w:ascii="Avenir Next LT Pro" w:hAnsi="Avenir Next LT Pro"/>
            <w:webHidden/>
          </w:rPr>
          <w:instrText xml:space="preserve"> PAGEREF _Toc518377555 \h </w:instrText>
        </w:r>
        <w:r w:rsidR="0041126D" w:rsidRPr="004D40EA">
          <w:rPr>
            <w:rFonts w:ascii="Avenir Next LT Pro" w:hAnsi="Avenir Next LT Pro"/>
            <w:webHidden/>
          </w:rPr>
        </w:r>
        <w:r w:rsidR="0041126D" w:rsidRPr="004D40EA">
          <w:rPr>
            <w:rFonts w:ascii="Avenir Next LT Pro" w:hAnsi="Avenir Next LT Pro"/>
            <w:webHidden/>
          </w:rPr>
          <w:fldChar w:fldCharType="separate"/>
        </w:r>
        <w:r w:rsidR="0041126D" w:rsidRPr="004D40EA">
          <w:rPr>
            <w:rFonts w:ascii="Avenir Next LT Pro" w:hAnsi="Avenir Next LT Pro"/>
            <w:webHidden/>
          </w:rPr>
          <w:t>20</w:t>
        </w:r>
        <w:r w:rsidR="0041126D" w:rsidRPr="004D40EA">
          <w:rPr>
            <w:rFonts w:ascii="Avenir Next LT Pro" w:hAnsi="Avenir Next LT Pro"/>
            <w:webHidden/>
          </w:rPr>
          <w:fldChar w:fldCharType="end"/>
        </w:r>
      </w:hyperlink>
    </w:p>
    <w:p w14:paraId="06F0E9B2" w14:textId="77777777" w:rsidR="0041126D" w:rsidRPr="004D40EA" w:rsidRDefault="00496ED5" w:rsidP="0041126D">
      <w:pPr>
        <w:pStyle w:val="TOC1"/>
        <w:rPr>
          <w:rFonts w:ascii="Avenir Next LT Pro" w:hAnsi="Avenir Next LT Pro"/>
        </w:rPr>
      </w:pPr>
      <w:hyperlink w:anchor="_Toc518377556" w:history="1">
        <w:r w:rsidR="0041126D" w:rsidRPr="004D40EA">
          <w:rPr>
            <w:rStyle w:val="Hyperlink"/>
            <w:rFonts w:ascii="Avenir Next LT Pro" w:eastAsia="ヒラギノ角ゴ Pro W3" w:hAnsi="Avenir Next LT Pro"/>
          </w:rPr>
          <w:t>VETERANS AND MILITARY FAMILIES</w:t>
        </w:r>
        <w:r w:rsidR="0041126D" w:rsidRPr="004D40EA">
          <w:rPr>
            <w:rFonts w:ascii="Avenir Next LT Pro" w:hAnsi="Avenir Next LT Pro"/>
            <w:webHidden/>
          </w:rPr>
          <w:tab/>
        </w:r>
        <w:r w:rsidR="0041126D" w:rsidRPr="004D40EA">
          <w:rPr>
            <w:rFonts w:ascii="Avenir Next LT Pro" w:hAnsi="Avenir Next LT Pro"/>
            <w:webHidden/>
          </w:rPr>
          <w:fldChar w:fldCharType="begin"/>
        </w:r>
        <w:r w:rsidR="0041126D" w:rsidRPr="004D40EA">
          <w:rPr>
            <w:rFonts w:ascii="Avenir Next LT Pro" w:hAnsi="Avenir Next LT Pro"/>
            <w:webHidden/>
          </w:rPr>
          <w:instrText xml:space="preserve"> PAGEREF _Toc518377556 \h </w:instrText>
        </w:r>
        <w:r w:rsidR="0041126D" w:rsidRPr="004D40EA">
          <w:rPr>
            <w:rFonts w:ascii="Avenir Next LT Pro" w:hAnsi="Avenir Next LT Pro"/>
            <w:webHidden/>
          </w:rPr>
        </w:r>
        <w:r w:rsidR="0041126D" w:rsidRPr="004D40EA">
          <w:rPr>
            <w:rFonts w:ascii="Avenir Next LT Pro" w:hAnsi="Avenir Next LT Pro"/>
            <w:webHidden/>
          </w:rPr>
          <w:fldChar w:fldCharType="separate"/>
        </w:r>
        <w:r w:rsidR="0041126D" w:rsidRPr="004D40EA">
          <w:rPr>
            <w:rFonts w:ascii="Avenir Next LT Pro" w:hAnsi="Avenir Next LT Pro"/>
            <w:webHidden/>
          </w:rPr>
          <w:t>22</w:t>
        </w:r>
        <w:r w:rsidR="0041126D" w:rsidRPr="004D40EA">
          <w:rPr>
            <w:rFonts w:ascii="Avenir Next LT Pro" w:hAnsi="Avenir Next LT Pro"/>
            <w:webHidden/>
          </w:rPr>
          <w:fldChar w:fldCharType="end"/>
        </w:r>
      </w:hyperlink>
    </w:p>
    <w:p w14:paraId="6341FB79" w14:textId="77777777" w:rsidR="0041126D" w:rsidRPr="004D40EA" w:rsidRDefault="00496ED5" w:rsidP="0041126D">
      <w:pPr>
        <w:pStyle w:val="TOC1"/>
        <w:rPr>
          <w:rFonts w:ascii="Avenir Next LT Pro" w:hAnsi="Avenir Next LT Pro"/>
        </w:rPr>
      </w:pPr>
      <w:hyperlink w:anchor="_Toc518377557" w:history="1">
        <w:r w:rsidR="0041126D" w:rsidRPr="004D40EA">
          <w:rPr>
            <w:rStyle w:val="Hyperlink"/>
            <w:rFonts w:ascii="Avenir Next LT Pro" w:hAnsi="Avenir Next LT Pro"/>
          </w:rPr>
          <w:t>Appendix A: Understanding MSY and Member Allocations</w:t>
        </w:r>
        <w:r w:rsidR="0041126D" w:rsidRPr="004D40EA">
          <w:rPr>
            <w:rFonts w:ascii="Avenir Next LT Pro" w:hAnsi="Avenir Next LT Pro"/>
            <w:webHidden/>
          </w:rPr>
          <w:tab/>
        </w:r>
        <w:r w:rsidR="0041126D" w:rsidRPr="004D40EA">
          <w:rPr>
            <w:rFonts w:ascii="Avenir Next LT Pro" w:hAnsi="Avenir Next LT Pro"/>
            <w:webHidden/>
          </w:rPr>
          <w:fldChar w:fldCharType="begin"/>
        </w:r>
        <w:r w:rsidR="0041126D" w:rsidRPr="004D40EA">
          <w:rPr>
            <w:rFonts w:ascii="Avenir Next LT Pro" w:hAnsi="Avenir Next LT Pro"/>
            <w:webHidden/>
          </w:rPr>
          <w:instrText xml:space="preserve"> PAGEREF _Toc518377557 \h </w:instrText>
        </w:r>
        <w:r w:rsidR="0041126D" w:rsidRPr="004D40EA">
          <w:rPr>
            <w:rFonts w:ascii="Avenir Next LT Pro" w:hAnsi="Avenir Next LT Pro"/>
            <w:webHidden/>
          </w:rPr>
        </w:r>
        <w:r w:rsidR="0041126D" w:rsidRPr="004D40EA">
          <w:rPr>
            <w:rFonts w:ascii="Avenir Next LT Pro" w:hAnsi="Avenir Next LT Pro"/>
            <w:webHidden/>
          </w:rPr>
          <w:fldChar w:fldCharType="separate"/>
        </w:r>
        <w:r w:rsidR="0041126D" w:rsidRPr="004D40EA">
          <w:rPr>
            <w:rFonts w:ascii="Avenir Next LT Pro" w:hAnsi="Avenir Next LT Pro"/>
            <w:webHidden/>
          </w:rPr>
          <w:t>23</w:t>
        </w:r>
        <w:r w:rsidR="0041126D" w:rsidRPr="004D40EA">
          <w:rPr>
            <w:rFonts w:ascii="Avenir Next LT Pro" w:hAnsi="Avenir Next LT Pro"/>
            <w:webHidden/>
          </w:rPr>
          <w:fldChar w:fldCharType="end"/>
        </w:r>
      </w:hyperlink>
    </w:p>
    <w:p w14:paraId="755946CF" w14:textId="77777777" w:rsidR="0041126D" w:rsidRPr="004D40EA" w:rsidRDefault="00496ED5" w:rsidP="0041126D">
      <w:pPr>
        <w:pStyle w:val="TOC1"/>
        <w:rPr>
          <w:rFonts w:ascii="Avenir Next LT Pro" w:hAnsi="Avenir Next LT Pro"/>
        </w:rPr>
      </w:pPr>
      <w:hyperlink w:anchor="_Toc518377558" w:history="1">
        <w:r w:rsidR="0041126D" w:rsidRPr="004D40EA">
          <w:rPr>
            <w:rStyle w:val="Hyperlink"/>
            <w:rFonts w:ascii="Avenir Next LT Pro" w:hAnsi="Avenir Next LT Pro"/>
          </w:rPr>
          <w:t>Appendix B: Performance Measures Checklist</w:t>
        </w:r>
        <w:r w:rsidR="0041126D" w:rsidRPr="004D40EA">
          <w:rPr>
            <w:rFonts w:ascii="Avenir Next LT Pro" w:hAnsi="Avenir Next LT Pro"/>
            <w:webHidden/>
          </w:rPr>
          <w:tab/>
        </w:r>
        <w:r w:rsidR="0041126D" w:rsidRPr="004D40EA">
          <w:rPr>
            <w:rFonts w:ascii="Avenir Next LT Pro" w:hAnsi="Avenir Next LT Pro"/>
            <w:webHidden/>
          </w:rPr>
          <w:fldChar w:fldCharType="begin"/>
        </w:r>
        <w:r w:rsidR="0041126D" w:rsidRPr="004D40EA">
          <w:rPr>
            <w:rFonts w:ascii="Avenir Next LT Pro" w:hAnsi="Avenir Next LT Pro"/>
            <w:webHidden/>
          </w:rPr>
          <w:instrText xml:space="preserve"> PAGEREF _Toc518377558 \h </w:instrText>
        </w:r>
        <w:r w:rsidR="0041126D" w:rsidRPr="004D40EA">
          <w:rPr>
            <w:rFonts w:ascii="Avenir Next LT Pro" w:hAnsi="Avenir Next LT Pro"/>
            <w:webHidden/>
          </w:rPr>
        </w:r>
        <w:r w:rsidR="0041126D" w:rsidRPr="004D40EA">
          <w:rPr>
            <w:rFonts w:ascii="Avenir Next LT Pro" w:hAnsi="Avenir Next LT Pro"/>
            <w:webHidden/>
          </w:rPr>
          <w:fldChar w:fldCharType="separate"/>
        </w:r>
        <w:r w:rsidR="0041126D" w:rsidRPr="004D40EA">
          <w:rPr>
            <w:rFonts w:ascii="Avenir Next LT Pro" w:hAnsi="Avenir Next LT Pro"/>
            <w:webHidden/>
          </w:rPr>
          <w:t>27</w:t>
        </w:r>
        <w:r w:rsidR="0041126D" w:rsidRPr="004D40EA">
          <w:rPr>
            <w:rFonts w:ascii="Avenir Next LT Pro" w:hAnsi="Avenir Next LT Pro"/>
            <w:webHidden/>
          </w:rPr>
          <w:fldChar w:fldCharType="end"/>
        </w:r>
      </w:hyperlink>
    </w:p>
    <w:p w14:paraId="7CFE5966" w14:textId="77777777" w:rsidR="0041126D" w:rsidRPr="004D40EA" w:rsidRDefault="00496ED5" w:rsidP="0041126D">
      <w:pPr>
        <w:pStyle w:val="TOC1"/>
        <w:rPr>
          <w:rFonts w:ascii="Avenir Next LT Pro" w:hAnsi="Avenir Next LT Pro"/>
        </w:rPr>
      </w:pPr>
      <w:hyperlink w:anchor="_Toc518377559" w:history="1">
        <w:r w:rsidR="0041126D" w:rsidRPr="004D40EA">
          <w:rPr>
            <w:rStyle w:val="Hyperlink"/>
            <w:rFonts w:ascii="Avenir Next LT Pro" w:hAnsi="Avenir Next LT Pro"/>
          </w:rPr>
          <w:t>Appendix C: Frequently Asked Questions</w:t>
        </w:r>
        <w:r w:rsidR="0041126D" w:rsidRPr="004D40EA">
          <w:rPr>
            <w:rFonts w:ascii="Avenir Next LT Pro" w:hAnsi="Avenir Next LT Pro"/>
            <w:webHidden/>
          </w:rPr>
          <w:tab/>
        </w:r>
        <w:r w:rsidR="0041126D" w:rsidRPr="004D40EA">
          <w:rPr>
            <w:rFonts w:ascii="Avenir Next LT Pro" w:hAnsi="Avenir Next LT Pro"/>
            <w:webHidden/>
          </w:rPr>
          <w:fldChar w:fldCharType="begin"/>
        </w:r>
        <w:r w:rsidR="0041126D" w:rsidRPr="004D40EA">
          <w:rPr>
            <w:rFonts w:ascii="Avenir Next LT Pro" w:hAnsi="Avenir Next LT Pro"/>
            <w:webHidden/>
          </w:rPr>
          <w:instrText xml:space="preserve"> PAGEREF _Toc518377559 \h </w:instrText>
        </w:r>
        <w:r w:rsidR="0041126D" w:rsidRPr="004D40EA">
          <w:rPr>
            <w:rFonts w:ascii="Avenir Next LT Pro" w:hAnsi="Avenir Next LT Pro"/>
            <w:webHidden/>
          </w:rPr>
        </w:r>
        <w:r w:rsidR="0041126D" w:rsidRPr="004D40EA">
          <w:rPr>
            <w:rFonts w:ascii="Avenir Next LT Pro" w:hAnsi="Avenir Next LT Pro"/>
            <w:webHidden/>
          </w:rPr>
          <w:fldChar w:fldCharType="separate"/>
        </w:r>
        <w:r w:rsidR="0041126D" w:rsidRPr="004D40EA">
          <w:rPr>
            <w:rFonts w:ascii="Avenir Next LT Pro" w:hAnsi="Avenir Next LT Pro"/>
            <w:webHidden/>
          </w:rPr>
          <w:t>29</w:t>
        </w:r>
        <w:r w:rsidR="0041126D" w:rsidRPr="004D40EA">
          <w:rPr>
            <w:rFonts w:ascii="Avenir Next LT Pro" w:hAnsi="Avenir Next LT Pro"/>
            <w:webHidden/>
          </w:rPr>
          <w:fldChar w:fldCharType="end"/>
        </w:r>
      </w:hyperlink>
    </w:p>
    <w:p w14:paraId="44B894F7" w14:textId="77777777" w:rsidR="0041126D" w:rsidRPr="004D40EA" w:rsidRDefault="0041126D" w:rsidP="0041126D">
      <w:pPr>
        <w:rPr>
          <w:rFonts w:ascii="Avenir Next LT Pro" w:hAnsi="Avenir Next LT Pro"/>
        </w:rPr>
      </w:pPr>
      <w:r w:rsidRPr="004D40EA">
        <w:rPr>
          <w:rFonts w:ascii="Avenir Next LT Pro" w:hAnsi="Avenir Next LT Pro"/>
          <w:b/>
          <w:bCs/>
          <w:noProof/>
        </w:rPr>
        <w:fldChar w:fldCharType="end"/>
      </w:r>
    </w:p>
    <w:p w14:paraId="7837ABC2" w14:textId="77777777" w:rsidR="0041126D" w:rsidRPr="004D40EA" w:rsidRDefault="0041126D" w:rsidP="0041126D">
      <w:pPr>
        <w:rPr>
          <w:rStyle w:val="Strong1"/>
          <w:rFonts w:ascii="Avenir Next LT Pro" w:hAnsi="Avenir Next LT Pro"/>
          <w:sz w:val="32"/>
          <w:szCs w:val="32"/>
        </w:rPr>
      </w:pPr>
    </w:p>
    <w:p w14:paraId="0AC51E20" w14:textId="77777777" w:rsidR="0041126D" w:rsidRPr="004D40EA" w:rsidRDefault="0041126D" w:rsidP="0041126D">
      <w:pPr>
        <w:pStyle w:val="Heading1"/>
        <w:spacing w:after="0" w:line="240" w:lineRule="auto"/>
        <w:contextualSpacing/>
        <w:jc w:val="center"/>
        <w:rPr>
          <w:rStyle w:val="Strong1"/>
          <w:rFonts w:ascii="Avenir Next LT Pro" w:hAnsi="Avenir Next LT Pro"/>
          <w:szCs w:val="20"/>
        </w:rPr>
      </w:pPr>
      <w:r w:rsidRPr="004D40EA">
        <w:rPr>
          <w:rStyle w:val="Strong1"/>
          <w:rFonts w:ascii="Avenir Next LT Pro" w:hAnsi="Avenir Next LT Pro"/>
          <w:sz w:val="32"/>
        </w:rPr>
        <w:br w:type="page"/>
      </w:r>
      <w:bookmarkStart w:id="3" w:name="_Toc371442620"/>
      <w:bookmarkStart w:id="4" w:name="_Toc371442728"/>
    </w:p>
    <w:p w14:paraId="472173C9" w14:textId="77777777" w:rsidR="0041126D" w:rsidRPr="004D40EA" w:rsidRDefault="0041126D" w:rsidP="0041126D">
      <w:pPr>
        <w:pStyle w:val="Style1"/>
        <w:outlineLvl w:val="0"/>
        <w:rPr>
          <w:rFonts w:ascii="Avenir Next LT Pro" w:hAnsi="Avenir Next LT Pro"/>
        </w:rPr>
      </w:pPr>
      <w:bookmarkStart w:id="5" w:name="_Toc518377548"/>
      <w:r w:rsidRPr="004D40EA">
        <w:rPr>
          <w:rFonts w:ascii="Avenir Next LT Pro" w:hAnsi="Avenir Next LT Pro"/>
        </w:rPr>
        <w:lastRenderedPageBreak/>
        <w:t>AmeriCorps State and National Performance Measure Requirements</w:t>
      </w:r>
      <w:bookmarkEnd w:id="3"/>
      <w:bookmarkEnd w:id="4"/>
      <w:bookmarkEnd w:id="5"/>
      <w:r w:rsidRPr="004D40EA">
        <w:rPr>
          <w:rFonts w:ascii="Avenir Next LT Pro" w:hAnsi="Avenir Next LT Pro"/>
        </w:rPr>
        <w:br/>
      </w:r>
    </w:p>
    <w:p w14:paraId="6963CEC4" w14:textId="77777777" w:rsidR="0041126D" w:rsidRPr="004D40EA" w:rsidRDefault="0041126D" w:rsidP="0041126D">
      <w:pPr>
        <w:shd w:val="clear" w:color="auto" w:fill="FFFFFF"/>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All applications must include at least one aligned performance measure (output paired with outcome) that corresponds to the proposed primary intervention.  This may be a National Performance Measure or an applicant-determined measure depending on the program’s theory of change.  Applications may also include National Performance Measure outputs without associated outcome(s) provided that the output measures a significant program activity.  These output-only measures do not fulfill the requirement for an aligned performance </w:t>
      </w:r>
      <w:proofErr w:type="gramStart"/>
      <w:r w:rsidRPr="004D40EA">
        <w:rPr>
          <w:rFonts w:ascii="Avenir Next LT Pro" w:hAnsi="Avenir Next LT Pro"/>
          <w:sz w:val="20"/>
          <w:szCs w:val="20"/>
        </w:rPr>
        <w:t>measure, but</w:t>
      </w:r>
      <w:proofErr w:type="gramEnd"/>
      <w:r w:rsidRPr="004D40EA">
        <w:rPr>
          <w:rFonts w:ascii="Avenir Next LT Pro" w:hAnsi="Avenir Next LT Pro"/>
          <w:sz w:val="20"/>
          <w:szCs w:val="20"/>
        </w:rPr>
        <w:t xml:space="preserve"> may be selected in addition to the aligned measure(s).</w:t>
      </w:r>
      <w:r w:rsidRPr="004D40EA">
        <w:rPr>
          <w:rFonts w:ascii="Avenir Next LT Pro" w:hAnsi="Avenir Next LT Pro"/>
          <w:sz w:val="20"/>
          <w:szCs w:val="20"/>
        </w:rPr>
        <w:br/>
      </w:r>
    </w:p>
    <w:p w14:paraId="350032DC" w14:textId="77777777" w:rsidR="0041126D" w:rsidRPr="004D40EA" w:rsidRDefault="0041126D" w:rsidP="0041126D">
      <w:pPr>
        <w:shd w:val="clear" w:color="auto" w:fill="FFFFFF"/>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All performance measures must reflect significant program activities whose outputs and outcomes are consistent with the applicant’s core theory of change.  Applicants are not expected to have performance measures for every program activity.  AmeriCorps does not require applicants to use National Performance Measures but expects them to do so if National Performance Measures reflect key outputs and/or outcomes of the theory of change.  Applicants may not create applicant determined outputs or outcomes that duplicate existing National Performance Measures.  </w:t>
      </w:r>
    </w:p>
    <w:p w14:paraId="63ABECD9" w14:textId="77777777" w:rsidR="0041126D" w:rsidRPr="004D40EA" w:rsidRDefault="0041126D" w:rsidP="0041126D">
      <w:pPr>
        <w:shd w:val="clear" w:color="auto" w:fill="FFFFFF"/>
        <w:spacing w:after="0" w:line="240" w:lineRule="auto"/>
        <w:contextualSpacing/>
        <w:rPr>
          <w:rFonts w:ascii="Avenir Next LT Pro" w:hAnsi="Avenir Next LT Pro"/>
          <w:sz w:val="20"/>
          <w:szCs w:val="20"/>
        </w:rPr>
      </w:pPr>
    </w:p>
    <w:p w14:paraId="55AA333F" w14:textId="77777777" w:rsidR="0041126D" w:rsidRPr="004D40EA" w:rsidRDefault="0041126D" w:rsidP="0041126D">
      <w:pPr>
        <w:shd w:val="clear" w:color="auto" w:fill="FFFFFF"/>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All performance measures, including output-only measures, must be associated with one or more interventions (service activities).  Applicants are expected to use the system-defined intervention categories if they appropriately represent the applicant’s program activities.  Applicants may not create user-defined intervention labels that duplicate existing intervention categories. </w:t>
      </w:r>
    </w:p>
    <w:p w14:paraId="7D7CDFBC" w14:textId="77777777" w:rsidR="0041126D" w:rsidRPr="004D40EA" w:rsidRDefault="0041126D" w:rsidP="0041126D">
      <w:pPr>
        <w:pStyle w:val="Style1"/>
        <w:outlineLvl w:val="0"/>
        <w:rPr>
          <w:rFonts w:ascii="Avenir Next LT Pro" w:hAnsi="Avenir Next LT Pro"/>
        </w:rPr>
      </w:pPr>
      <w:r w:rsidRPr="004D40EA">
        <w:rPr>
          <w:rFonts w:ascii="Avenir Next LT Pro" w:hAnsi="Avenir Next LT Pro"/>
        </w:rPr>
        <w:br w:type="page"/>
      </w:r>
      <w:bookmarkStart w:id="6" w:name="_Toc518377549"/>
      <w:r w:rsidRPr="004D40EA">
        <w:rPr>
          <w:rFonts w:ascii="Avenir Next LT Pro" w:hAnsi="Avenir Next LT Pro"/>
        </w:rPr>
        <w:lastRenderedPageBreak/>
        <w:t>AmeriCorps State and National Performance Measures Selection Rules</w:t>
      </w:r>
      <w:bookmarkEnd w:id="6"/>
      <w:r w:rsidRPr="004D40EA">
        <w:rPr>
          <w:rFonts w:ascii="Avenir Next LT Pro" w:hAnsi="Avenir Next LT Pro"/>
        </w:rPr>
        <w:br/>
      </w:r>
    </w:p>
    <w:p w14:paraId="3AA0260F"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These selection rules specify allowable output/outcome pairings for National Performance Measures.  Applicants must follow these selection rules when using National Performance Measures.  Applicants may not select any National Performance Measures that may appear in eGrants if they are not present on this list.  Please see the NOFO for additional information about application requirements.</w:t>
      </w:r>
    </w:p>
    <w:p w14:paraId="2CE0E38B" w14:textId="77777777" w:rsidR="0041126D" w:rsidRPr="004D40EA" w:rsidRDefault="0041126D" w:rsidP="0041126D">
      <w:pPr>
        <w:spacing w:after="0" w:line="240" w:lineRule="auto"/>
        <w:contextualSpacing/>
        <w:rPr>
          <w:rFonts w:ascii="Avenir Next LT Pro" w:hAnsi="Avenir Next LT Pro"/>
          <w:b/>
          <w:sz w:val="20"/>
          <w:szCs w:val="20"/>
        </w:rPr>
      </w:pPr>
    </w:p>
    <w:p w14:paraId="4A861A05" w14:textId="77777777" w:rsidR="0041126D" w:rsidRPr="004D40EA" w:rsidRDefault="0041126D" w:rsidP="0041126D">
      <w:pPr>
        <w:spacing w:after="0" w:line="240" w:lineRule="auto"/>
        <w:contextualSpacing/>
        <w:rPr>
          <w:rFonts w:ascii="Avenir Next LT Pro" w:hAnsi="Avenir Next LT Pro"/>
          <w:b/>
          <w:sz w:val="20"/>
          <w:szCs w:val="20"/>
        </w:rPr>
      </w:pPr>
    </w:p>
    <w:p w14:paraId="15A11972"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Capacity Building</w:t>
      </w:r>
    </w:p>
    <w:p w14:paraId="6059E5E8" w14:textId="77777777" w:rsidR="0041126D" w:rsidRPr="004D40EA" w:rsidRDefault="0041126D" w:rsidP="0041126D">
      <w:pPr>
        <w:spacing w:after="0" w:line="240" w:lineRule="auto"/>
        <w:contextualSpacing/>
        <w:rPr>
          <w:rFonts w:ascii="Avenir Next LT Pro" w:hAnsi="Avenir Next LT Pro"/>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9"/>
        <w:gridCol w:w="2200"/>
        <w:gridCol w:w="3122"/>
        <w:gridCol w:w="2479"/>
      </w:tblGrid>
      <w:tr w:rsidR="0041126D" w:rsidRPr="004D40EA" w14:paraId="45B33665" w14:textId="77777777">
        <w:tc>
          <w:tcPr>
            <w:tcW w:w="1571" w:type="dxa"/>
            <w:vMerge w:val="restart"/>
            <w:tcMar>
              <w:top w:w="0" w:type="dxa"/>
              <w:left w:w="108" w:type="dxa"/>
              <w:bottom w:w="0" w:type="dxa"/>
              <w:right w:w="108" w:type="dxa"/>
            </w:tcMar>
            <w:hideMark/>
          </w:tcPr>
          <w:p w14:paraId="73D5D7A9"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71" w:type="dxa"/>
            <w:gridSpan w:val="2"/>
            <w:tcMar>
              <w:top w:w="0" w:type="dxa"/>
              <w:left w:w="108" w:type="dxa"/>
              <w:bottom w:w="0" w:type="dxa"/>
              <w:right w:w="108" w:type="dxa"/>
            </w:tcMar>
            <w:hideMark/>
          </w:tcPr>
          <w:p w14:paraId="6DBF5B30"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534" w:type="dxa"/>
            <w:vMerge w:val="restart"/>
            <w:tcMar>
              <w:top w:w="0" w:type="dxa"/>
              <w:left w:w="108" w:type="dxa"/>
              <w:bottom w:w="0" w:type="dxa"/>
              <w:right w:w="108" w:type="dxa"/>
            </w:tcMar>
            <w:hideMark/>
          </w:tcPr>
          <w:p w14:paraId="611A36BF"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12CFC6C8" w14:textId="77777777">
        <w:trPr>
          <w:trHeight w:val="341"/>
        </w:trPr>
        <w:tc>
          <w:tcPr>
            <w:tcW w:w="1571" w:type="dxa"/>
            <w:vMerge/>
            <w:tcMar>
              <w:top w:w="0" w:type="dxa"/>
              <w:left w:w="108" w:type="dxa"/>
              <w:bottom w:w="0" w:type="dxa"/>
              <w:right w:w="108" w:type="dxa"/>
            </w:tcMar>
          </w:tcPr>
          <w:p w14:paraId="073AA7F2" w14:textId="77777777" w:rsidR="0041126D" w:rsidRPr="004D40EA" w:rsidRDefault="0041126D">
            <w:pPr>
              <w:spacing w:after="0" w:line="240" w:lineRule="auto"/>
              <w:contextualSpacing/>
              <w:rPr>
                <w:rFonts w:ascii="Avenir Next LT Pro" w:hAnsi="Avenir Next LT Pro"/>
                <w:b/>
                <w:sz w:val="20"/>
                <w:szCs w:val="20"/>
              </w:rPr>
            </w:pPr>
          </w:p>
        </w:tc>
        <w:tc>
          <w:tcPr>
            <w:tcW w:w="2243" w:type="dxa"/>
            <w:tcMar>
              <w:top w:w="0" w:type="dxa"/>
              <w:left w:w="108" w:type="dxa"/>
              <w:bottom w:w="0" w:type="dxa"/>
              <w:right w:w="108" w:type="dxa"/>
            </w:tcMar>
          </w:tcPr>
          <w:p w14:paraId="7049ADED"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228" w:type="dxa"/>
          </w:tcPr>
          <w:p w14:paraId="55A25415"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xml:space="preserve">Outcomes (if </w:t>
            </w:r>
            <w:proofErr w:type="gramStart"/>
            <w:r w:rsidRPr="004D40EA">
              <w:rPr>
                <w:rFonts w:ascii="Avenir Next LT Pro" w:hAnsi="Avenir Next LT Pro"/>
                <w:b/>
                <w:sz w:val="20"/>
                <w:szCs w:val="20"/>
              </w:rPr>
              <w:t>applicable)*</w:t>
            </w:r>
            <w:proofErr w:type="gramEnd"/>
          </w:p>
        </w:tc>
        <w:tc>
          <w:tcPr>
            <w:tcW w:w="2534" w:type="dxa"/>
            <w:vMerge/>
            <w:tcMar>
              <w:top w:w="0" w:type="dxa"/>
              <w:left w:w="108" w:type="dxa"/>
              <w:bottom w:w="0" w:type="dxa"/>
              <w:right w:w="108" w:type="dxa"/>
            </w:tcMar>
          </w:tcPr>
          <w:p w14:paraId="4F80948D" w14:textId="77777777" w:rsidR="0041126D" w:rsidRPr="004D40EA" w:rsidRDefault="0041126D">
            <w:pPr>
              <w:spacing w:after="0" w:line="240" w:lineRule="auto"/>
              <w:contextualSpacing/>
              <w:jc w:val="center"/>
              <w:rPr>
                <w:rFonts w:ascii="Avenir Next LT Pro" w:hAnsi="Avenir Next LT Pro"/>
                <w:b/>
                <w:sz w:val="20"/>
                <w:szCs w:val="20"/>
              </w:rPr>
            </w:pPr>
          </w:p>
        </w:tc>
      </w:tr>
      <w:tr w:rsidR="0041126D" w:rsidRPr="004D40EA" w14:paraId="35D7E2AA" w14:textId="77777777">
        <w:tc>
          <w:tcPr>
            <w:tcW w:w="1571" w:type="dxa"/>
            <w:tcMar>
              <w:top w:w="0" w:type="dxa"/>
              <w:left w:w="108" w:type="dxa"/>
              <w:bottom w:w="0" w:type="dxa"/>
              <w:right w:w="108" w:type="dxa"/>
            </w:tcMar>
          </w:tcPr>
          <w:p w14:paraId="4809AD2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Capacity Building &amp; Leverage</w:t>
            </w:r>
          </w:p>
        </w:tc>
        <w:tc>
          <w:tcPr>
            <w:tcW w:w="2243" w:type="dxa"/>
            <w:tcMar>
              <w:top w:w="0" w:type="dxa"/>
              <w:left w:w="108" w:type="dxa"/>
              <w:bottom w:w="0" w:type="dxa"/>
              <w:right w:w="108" w:type="dxa"/>
            </w:tcMar>
          </w:tcPr>
          <w:p w14:paraId="3644FB2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G3-3.4:  Number of organizations that received capacity building services</w:t>
            </w:r>
          </w:p>
        </w:tc>
        <w:tc>
          <w:tcPr>
            <w:tcW w:w="3228" w:type="dxa"/>
          </w:tcPr>
          <w:p w14:paraId="0F64BBC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G3-3.10A:  Number of organizations that increase their efficiency, effectiveness, and/or program reach</w:t>
            </w:r>
          </w:p>
        </w:tc>
        <w:tc>
          <w:tcPr>
            <w:tcW w:w="2534" w:type="dxa"/>
            <w:tcMar>
              <w:top w:w="0" w:type="dxa"/>
              <w:left w:w="108" w:type="dxa"/>
              <w:bottom w:w="0" w:type="dxa"/>
              <w:right w:w="108" w:type="dxa"/>
            </w:tcMar>
          </w:tcPr>
          <w:p w14:paraId="268561C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Volunteer management</w:t>
            </w:r>
          </w:p>
          <w:p w14:paraId="6604822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Training</w:t>
            </w:r>
          </w:p>
          <w:p w14:paraId="560300B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Resource development</w:t>
            </w:r>
          </w:p>
          <w:p w14:paraId="4C3F5CC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Systems development</w:t>
            </w:r>
          </w:p>
        </w:tc>
      </w:tr>
    </w:tbl>
    <w:p w14:paraId="361F6475"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6D5DA807" w14:textId="77777777" w:rsidR="0041126D" w:rsidRPr="004D40EA" w:rsidRDefault="0041126D" w:rsidP="0041126D">
      <w:pPr>
        <w:spacing w:after="0" w:line="240" w:lineRule="auto"/>
        <w:contextualSpacing/>
        <w:rPr>
          <w:rFonts w:ascii="Avenir Next LT Pro" w:hAnsi="Avenir Next LT Pro"/>
          <w:b/>
          <w:sz w:val="20"/>
          <w:szCs w:val="20"/>
        </w:rPr>
      </w:pPr>
    </w:p>
    <w:p w14:paraId="3D041858" w14:textId="77777777" w:rsidR="0041126D" w:rsidRPr="004D40EA" w:rsidRDefault="0041126D" w:rsidP="0041126D">
      <w:pPr>
        <w:spacing w:after="0" w:line="240" w:lineRule="auto"/>
        <w:contextualSpacing/>
        <w:rPr>
          <w:rFonts w:ascii="Avenir Next LT Pro" w:hAnsi="Avenir Next LT Pro"/>
          <w:b/>
          <w:sz w:val="20"/>
          <w:szCs w:val="20"/>
        </w:rPr>
      </w:pPr>
    </w:p>
    <w:p w14:paraId="6126AEED"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Disaster Services</w:t>
      </w:r>
    </w:p>
    <w:p w14:paraId="24119477" w14:textId="77777777" w:rsidR="0041126D" w:rsidRPr="004D40EA" w:rsidRDefault="0041126D" w:rsidP="0041126D">
      <w:pPr>
        <w:spacing w:after="0" w:line="240" w:lineRule="auto"/>
        <w:contextualSpacing/>
        <w:rPr>
          <w:rFonts w:ascii="Avenir Next LT Pro" w:hAnsi="Avenir Next LT Pro"/>
          <w:b/>
          <w:sz w:val="20"/>
          <w:szCs w:val="20"/>
        </w:rPr>
      </w:pP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2250"/>
        <w:gridCol w:w="3228"/>
        <w:gridCol w:w="2628"/>
      </w:tblGrid>
      <w:tr w:rsidR="0041126D" w:rsidRPr="004D40EA" w14:paraId="49998938" w14:textId="77777777" w:rsidTr="5779A35C">
        <w:tc>
          <w:tcPr>
            <w:tcW w:w="1571" w:type="dxa"/>
            <w:vMerge w:val="restart"/>
            <w:shd w:val="clear" w:color="auto" w:fill="auto"/>
            <w:hideMark/>
          </w:tcPr>
          <w:p w14:paraId="51794EF4"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78" w:type="dxa"/>
            <w:gridSpan w:val="2"/>
            <w:shd w:val="clear" w:color="auto" w:fill="auto"/>
            <w:hideMark/>
          </w:tcPr>
          <w:p w14:paraId="35D6C98C"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628" w:type="dxa"/>
            <w:vMerge w:val="restart"/>
            <w:shd w:val="clear" w:color="auto" w:fill="auto"/>
            <w:hideMark/>
          </w:tcPr>
          <w:p w14:paraId="0BFED0B6"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 xml:space="preserve"> Interventions</w:t>
            </w:r>
          </w:p>
        </w:tc>
      </w:tr>
      <w:tr w:rsidR="0041126D" w:rsidRPr="004D40EA" w14:paraId="74DF880F" w14:textId="77777777" w:rsidTr="5779A35C">
        <w:trPr>
          <w:trHeight w:val="314"/>
        </w:trPr>
        <w:tc>
          <w:tcPr>
            <w:tcW w:w="1571" w:type="dxa"/>
            <w:vMerge/>
          </w:tcPr>
          <w:p w14:paraId="2231FE8A" w14:textId="77777777" w:rsidR="0041126D" w:rsidRPr="004D40EA" w:rsidRDefault="0041126D">
            <w:pPr>
              <w:spacing w:after="0" w:line="240" w:lineRule="auto"/>
              <w:contextualSpacing/>
              <w:rPr>
                <w:rFonts w:ascii="Avenir Next LT Pro" w:hAnsi="Avenir Next LT Pro"/>
                <w:sz w:val="20"/>
                <w:szCs w:val="20"/>
              </w:rPr>
            </w:pPr>
          </w:p>
        </w:tc>
        <w:tc>
          <w:tcPr>
            <w:tcW w:w="2250" w:type="dxa"/>
            <w:shd w:val="clear" w:color="auto" w:fill="auto"/>
          </w:tcPr>
          <w:p w14:paraId="72FEBBC3"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228" w:type="dxa"/>
            <w:shd w:val="clear" w:color="auto" w:fill="auto"/>
          </w:tcPr>
          <w:p w14:paraId="31761A8E"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xml:space="preserve">Outcomes (if </w:t>
            </w:r>
            <w:proofErr w:type="gramStart"/>
            <w:r w:rsidRPr="004D40EA">
              <w:rPr>
                <w:rFonts w:ascii="Avenir Next LT Pro" w:hAnsi="Avenir Next LT Pro"/>
                <w:b/>
                <w:sz w:val="20"/>
                <w:szCs w:val="20"/>
              </w:rPr>
              <w:t>applicable)*</w:t>
            </w:r>
            <w:proofErr w:type="gramEnd"/>
          </w:p>
        </w:tc>
        <w:tc>
          <w:tcPr>
            <w:tcW w:w="2628" w:type="dxa"/>
            <w:vMerge/>
          </w:tcPr>
          <w:p w14:paraId="1AE59706"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73C3576B" w14:textId="77777777" w:rsidTr="5779A35C">
        <w:tc>
          <w:tcPr>
            <w:tcW w:w="1571" w:type="dxa"/>
            <w:vMerge w:val="restart"/>
            <w:shd w:val="clear" w:color="auto" w:fill="auto"/>
          </w:tcPr>
          <w:p w14:paraId="3E73A13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Assistance Provided</w:t>
            </w:r>
          </w:p>
        </w:tc>
        <w:tc>
          <w:tcPr>
            <w:tcW w:w="2250" w:type="dxa"/>
            <w:shd w:val="clear" w:color="auto" w:fill="auto"/>
          </w:tcPr>
          <w:p w14:paraId="74FC4E8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D1A:  Number of individuals </w:t>
            </w:r>
            <w:proofErr w:type="gramStart"/>
            <w:r w:rsidRPr="004D40EA">
              <w:rPr>
                <w:rFonts w:ascii="Avenir Next LT Pro" w:hAnsi="Avenir Next LT Pro"/>
                <w:sz w:val="20"/>
                <w:szCs w:val="20"/>
              </w:rPr>
              <w:t>served</w:t>
            </w:r>
            <w:proofErr w:type="gramEnd"/>
          </w:p>
          <w:p w14:paraId="0E5DC746" w14:textId="77777777" w:rsidR="0041126D" w:rsidRPr="004D40EA" w:rsidRDefault="0041126D">
            <w:pPr>
              <w:spacing w:after="0" w:line="240" w:lineRule="auto"/>
              <w:contextualSpacing/>
              <w:rPr>
                <w:rFonts w:ascii="Avenir Next LT Pro" w:hAnsi="Avenir Next LT Pro"/>
                <w:sz w:val="20"/>
                <w:szCs w:val="20"/>
              </w:rPr>
            </w:pPr>
          </w:p>
        </w:tc>
        <w:tc>
          <w:tcPr>
            <w:tcW w:w="3228" w:type="dxa"/>
            <w:shd w:val="clear" w:color="auto" w:fill="auto"/>
          </w:tcPr>
          <w:p w14:paraId="3EB2725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D5:  Number of individuals reporting increased disaster </w:t>
            </w:r>
            <w:proofErr w:type="gramStart"/>
            <w:r w:rsidRPr="004D40EA">
              <w:rPr>
                <w:rFonts w:ascii="Avenir Next LT Pro" w:hAnsi="Avenir Next LT Pro"/>
                <w:sz w:val="20"/>
                <w:szCs w:val="20"/>
              </w:rPr>
              <w:t>readiness</w:t>
            </w:r>
            <w:proofErr w:type="gramEnd"/>
          </w:p>
          <w:p w14:paraId="5ED85581" w14:textId="77777777" w:rsidR="0041126D" w:rsidRPr="004D40EA" w:rsidRDefault="0041126D">
            <w:pPr>
              <w:spacing w:after="0" w:line="240" w:lineRule="auto"/>
              <w:contextualSpacing/>
              <w:rPr>
                <w:rFonts w:ascii="Avenir Next LT Pro" w:hAnsi="Avenir Next LT Pro"/>
                <w:sz w:val="20"/>
                <w:szCs w:val="20"/>
              </w:rPr>
            </w:pPr>
          </w:p>
        </w:tc>
        <w:tc>
          <w:tcPr>
            <w:tcW w:w="2628" w:type="dxa"/>
            <w:shd w:val="clear" w:color="auto" w:fill="auto"/>
          </w:tcPr>
          <w:p w14:paraId="2C552C0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Preparation</w:t>
            </w:r>
          </w:p>
          <w:p w14:paraId="5A86CD2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007A1FE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682596C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Mitigation</w:t>
            </w:r>
          </w:p>
          <w:p w14:paraId="05158E2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26FA84BF" w14:textId="77777777"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Climate Change Intervention</w:t>
            </w:r>
          </w:p>
        </w:tc>
      </w:tr>
      <w:tr w:rsidR="0041126D" w:rsidRPr="004D40EA" w14:paraId="31E7DEA3" w14:textId="77777777" w:rsidTr="5779A35C">
        <w:tc>
          <w:tcPr>
            <w:tcW w:w="1571" w:type="dxa"/>
            <w:vMerge/>
          </w:tcPr>
          <w:p w14:paraId="27FDA161" w14:textId="77777777" w:rsidR="0041126D" w:rsidRPr="004D40EA" w:rsidRDefault="0041126D">
            <w:pPr>
              <w:spacing w:after="0" w:line="240" w:lineRule="auto"/>
              <w:contextualSpacing/>
              <w:rPr>
                <w:rFonts w:ascii="Avenir Next LT Pro" w:hAnsi="Avenir Next LT Pro"/>
                <w:sz w:val="20"/>
                <w:szCs w:val="20"/>
              </w:rPr>
            </w:pPr>
          </w:p>
        </w:tc>
        <w:tc>
          <w:tcPr>
            <w:tcW w:w="2250" w:type="dxa"/>
            <w:shd w:val="clear" w:color="auto" w:fill="auto"/>
          </w:tcPr>
          <w:p w14:paraId="4824C34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D6:  Number of structures protected or restored</w:t>
            </w:r>
          </w:p>
        </w:tc>
        <w:tc>
          <w:tcPr>
            <w:tcW w:w="3228" w:type="dxa"/>
            <w:shd w:val="clear" w:color="auto" w:fill="auto"/>
          </w:tcPr>
          <w:p w14:paraId="45656299" w14:textId="77777777" w:rsidR="0041126D" w:rsidRPr="004D40EA" w:rsidDel="0031231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D7:  Number of structures returned to regular use after a disaster</w:t>
            </w:r>
          </w:p>
        </w:tc>
        <w:tc>
          <w:tcPr>
            <w:tcW w:w="2628" w:type="dxa"/>
            <w:shd w:val="clear" w:color="auto" w:fill="auto"/>
          </w:tcPr>
          <w:p w14:paraId="5D846A9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Preparation</w:t>
            </w:r>
          </w:p>
          <w:p w14:paraId="3BF8EE2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57D43D5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0441BB7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Mitigation</w:t>
            </w:r>
          </w:p>
          <w:p w14:paraId="68C0EEE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4C995893" w14:textId="77777777" w:rsidR="0041126D" w:rsidRPr="004D40EA" w:rsidDel="00DF6600"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Climate Change Intervention</w:t>
            </w:r>
          </w:p>
        </w:tc>
      </w:tr>
      <w:tr w:rsidR="0041126D" w:rsidRPr="004D40EA" w14:paraId="3D3247B5" w14:textId="77777777" w:rsidTr="5779A35C">
        <w:tc>
          <w:tcPr>
            <w:tcW w:w="1571" w:type="dxa"/>
            <w:vMerge/>
          </w:tcPr>
          <w:p w14:paraId="2754E7E3" w14:textId="77777777" w:rsidR="0041126D" w:rsidRPr="004D40EA" w:rsidRDefault="0041126D">
            <w:pPr>
              <w:spacing w:after="0" w:line="240" w:lineRule="auto"/>
              <w:contextualSpacing/>
              <w:rPr>
                <w:rFonts w:ascii="Avenir Next LT Pro" w:hAnsi="Avenir Next LT Pro"/>
                <w:sz w:val="20"/>
                <w:szCs w:val="20"/>
              </w:rPr>
            </w:pPr>
          </w:p>
        </w:tc>
        <w:tc>
          <w:tcPr>
            <w:tcW w:w="2250" w:type="dxa"/>
            <w:shd w:val="clear" w:color="auto" w:fill="auto"/>
          </w:tcPr>
          <w:p w14:paraId="7F50ACAD" w14:textId="16B46030"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EN4**:  Acres of parks or public land treated</w:t>
            </w:r>
          </w:p>
        </w:tc>
        <w:tc>
          <w:tcPr>
            <w:tcW w:w="3228" w:type="dxa"/>
            <w:shd w:val="clear" w:color="auto" w:fill="auto"/>
          </w:tcPr>
          <w:p w14:paraId="54FD7869" w14:textId="6808611B"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EN4.1**: Acres of parks or public land improved</w:t>
            </w:r>
            <w:r w:rsidR="50909591" w:rsidRPr="5779A35C">
              <w:rPr>
                <w:rFonts w:ascii="Avenir Next LT Pro" w:hAnsi="Avenir Next LT Pro"/>
                <w:sz w:val="20"/>
                <w:szCs w:val="20"/>
              </w:rPr>
              <w:t xml:space="preserve"> </w:t>
            </w:r>
          </w:p>
        </w:tc>
        <w:tc>
          <w:tcPr>
            <w:tcW w:w="2628" w:type="dxa"/>
            <w:shd w:val="clear" w:color="auto" w:fill="auto"/>
          </w:tcPr>
          <w:p w14:paraId="1B012EE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Preparation</w:t>
            </w:r>
          </w:p>
          <w:p w14:paraId="17706CA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4F05AA6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2767C3F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Mitigation</w:t>
            </w:r>
          </w:p>
          <w:p w14:paraId="52D555D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5D4BBA2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Climate Change Intervention</w:t>
            </w:r>
          </w:p>
        </w:tc>
      </w:tr>
      <w:tr w:rsidR="0041126D" w:rsidRPr="004D40EA" w14:paraId="4782610E" w14:textId="77777777" w:rsidTr="5779A35C">
        <w:tc>
          <w:tcPr>
            <w:tcW w:w="1571" w:type="dxa"/>
            <w:vMerge/>
          </w:tcPr>
          <w:p w14:paraId="4CF5D228" w14:textId="77777777" w:rsidR="0041126D" w:rsidRPr="004D40EA" w:rsidRDefault="0041126D">
            <w:pPr>
              <w:spacing w:after="0" w:line="240" w:lineRule="auto"/>
              <w:contextualSpacing/>
              <w:rPr>
                <w:rFonts w:ascii="Avenir Next LT Pro" w:hAnsi="Avenir Next LT Pro"/>
                <w:sz w:val="20"/>
                <w:szCs w:val="20"/>
              </w:rPr>
            </w:pPr>
          </w:p>
        </w:tc>
        <w:tc>
          <w:tcPr>
            <w:tcW w:w="2250" w:type="dxa"/>
            <w:shd w:val="clear" w:color="auto" w:fill="auto"/>
          </w:tcPr>
          <w:p w14:paraId="0D8C157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EN5**:  Miles of trails or rivers treated.</w:t>
            </w:r>
          </w:p>
        </w:tc>
        <w:tc>
          <w:tcPr>
            <w:tcW w:w="3228" w:type="dxa"/>
            <w:shd w:val="clear" w:color="auto" w:fill="auto"/>
          </w:tcPr>
          <w:p w14:paraId="5220FE6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EN5.1**: Miles of trails or rivers improved</w:t>
            </w:r>
          </w:p>
        </w:tc>
        <w:tc>
          <w:tcPr>
            <w:tcW w:w="2628" w:type="dxa"/>
            <w:shd w:val="clear" w:color="auto" w:fill="auto"/>
          </w:tcPr>
          <w:p w14:paraId="56CD874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Preparation</w:t>
            </w:r>
          </w:p>
          <w:p w14:paraId="25CB3C9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00DFE3C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2832970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Mitigation</w:t>
            </w:r>
          </w:p>
          <w:p w14:paraId="37D978F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2D022CE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lastRenderedPageBreak/>
              <w:t>Climate Change Intervention</w:t>
            </w:r>
          </w:p>
        </w:tc>
      </w:tr>
      <w:tr w:rsidR="0041126D" w:rsidRPr="004D40EA" w14:paraId="6A1BC602" w14:textId="77777777" w:rsidTr="5779A35C">
        <w:tc>
          <w:tcPr>
            <w:tcW w:w="1571" w:type="dxa"/>
            <w:vMerge/>
          </w:tcPr>
          <w:p w14:paraId="6FD23192" w14:textId="77777777" w:rsidR="0041126D" w:rsidRPr="004D40EA" w:rsidRDefault="0041126D">
            <w:pPr>
              <w:spacing w:after="0" w:line="240" w:lineRule="auto"/>
              <w:contextualSpacing/>
              <w:rPr>
                <w:rFonts w:ascii="Avenir Next LT Pro" w:hAnsi="Avenir Next LT Pro"/>
                <w:sz w:val="20"/>
                <w:szCs w:val="20"/>
              </w:rPr>
            </w:pPr>
          </w:p>
        </w:tc>
        <w:tc>
          <w:tcPr>
            <w:tcW w:w="2250" w:type="dxa"/>
            <w:shd w:val="clear" w:color="auto" w:fill="auto"/>
          </w:tcPr>
          <w:p w14:paraId="6DC4A5E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G3-3.4**:  Number of organizations that received capacity building services</w:t>
            </w:r>
          </w:p>
        </w:tc>
        <w:tc>
          <w:tcPr>
            <w:tcW w:w="3228" w:type="dxa"/>
            <w:shd w:val="clear" w:color="auto" w:fill="auto"/>
          </w:tcPr>
          <w:p w14:paraId="2C1E408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G3-3.10A**:  Number of organizations that increase their efficiency, effectiveness, and/or program reach</w:t>
            </w:r>
          </w:p>
        </w:tc>
        <w:tc>
          <w:tcPr>
            <w:tcW w:w="2628" w:type="dxa"/>
            <w:shd w:val="clear" w:color="auto" w:fill="auto"/>
          </w:tcPr>
          <w:p w14:paraId="1F9F37C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Preparation</w:t>
            </w:r>
          </w:p>
          <w:p w14:paraId="3A2B2C2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Response</w:t>
            </w:r>
          </w:p>
          <w:p w14:paraId="254A894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Recovery</w:t>
            </w:r>
          </w:p>
          <w:p w14:paraId="378019F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Mitigation</w:t>
            </w:r>
          </w:p>
          <w:p w14:paraId="4871F28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Disaster Adaptation</w:t>
            </w:r>
          </w:p>
          <w:p w14:paraId="5671E2E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Climate Change Intervention</w:t>
            </w:r>
          </w:p>
        </w:tc>
      </w:tr>
    </w:tbl>
    <w:p w14:paraId="46883D1A"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w:t>
      </w:r>
      <w:r w:rsidRPr="004D40EA">
        <w:rPr>
          <w:rFonts w:ascii="Avenir Next LT Pro" w:hAnsi="Avenir Next LT Pro"/>
          <w:sz w:val="20"/>
          <w:szCs w:val="20"/>
        </w:rPr>
        <w:t xml:space="preserve">All National Performance Measure outputs may also be paired with an applicant-determined outcome instead or may be used without an associated outcome.  </w:t>
      </w:r>
    </w:p>
    <w:p w14:paraId="739CEA61" w14:textId="77777777" w:rsidR="0041126D" w:rsidRPr="004D40EA" w:rsidRDefault="0041126D" w:rsidP="0041126D">
      <w:pPr>
        <w:spacing w:after="0" w:line="240" w:lineRule="auto"/>
        <w:contextualSpacing/>
        <w:rPr>
          <w:rFonts w:ascii="Avenir Next LT Pro" w:hAnsi="Avenir Next LT Pro"/>
          <w:sz w:val="20"/>
          <w:szCs w:val="20"/>
        </w:rPr>
      </w:pPr>
    </w:p>
    <w:p w14:paraId="65D88691"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**In the eGrants Performance Measure Module, these measures may appear with the letter “D” at the end when used in the Disaster Services focus area.  However, the instructions for these measures are the same regardless of the focus area in which they are used. </w:t>
      </w:r>
    </w:p>
    <w:p w14:paraId="3EAF6847"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br w:type="page"/>
      </w:r>
      <w:r w:rsidRPr="004D40EA">
        <w:rPr>
          <w:rFonts w:ascii="Avenir Next LT Pro" w:hAnsi="Avenir Next LT Pro"/>
          <w:b/>
          <w:sz w:val="20"/>
          <w:szCs w:val="20"/>
        </w:rPr>
        <w:lastRenderedPageBreak/>
        <w:t>Economic Opportunity</w:t>
      </w:r>
    </w:p>
    <w:p w14:paraId="6A405271" w14:textId="77777777" w:rsidR="0041126D" w:rsidRPr="004D40EA" w:rsidRDefault="0041126D" w:rsidP="0041126D">
      <w:pPr>
        <w:spacing w:after="0" w:line="240" w:lineRule="auto"/>
        <w:contextualSpacing/>
        <w:rPr>
          <w:rFonts w:ascii="Avenir Next LT Pro" w:hAnsi="Avenir Next LT Pro"/>
          <w:b/>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8"/>
        <w:gridCol w:w="2250"/>
        <w:gridCol w:w="3060"/>
        <w:gridCol w:w="2700"/>
      </w:tblGrid>
      <w:tr w:rsidR="0041126D" w:rsidRPr="004D40EA" w14:paraId="5D813221" w14:textId="77777777">
        <w:tc>
          <w:tcPr>
            <w:tcW w:w="1548" w:type="dxa"/>
            <w:vMerge w:val="restart"/>
            <w:tcMar>
              <w:top w:w="0" w:type="dxa"/>
              <w:left w:w="108" w:type="dxa"/>
              <w:bottom w:w="0" w:type="dxa"/>
              <w:right w:w="108" w:type="dxa"/>
            </w:tcMar>
            <w:hideMark/>
          </w:tcPr>
          <w:p w14:paraId="40A7B369"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310" w:type="dxa"/>
            <w:gridSpan w:val="2"/>
            <w:tcMar>
              <w:top w:w="0" w:type="dxa"/>
              <w:left w:w="108" w:type="dxa"/>
              <w:bottom w:w="0" w:type="dxa"/>
              <w:right w:w="108" w:type="dxa"/>
            </w:tcMar>
            <w:hideMark/>
          </w:tcPr>
          <w:p w14:paraId="7C9A8E5F"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700" w:type="dxa"/>
            <w:tcMar>
              <w:top w:w="0" w:type="dxa"/>
              <w:left w:w="108" w:type="dxa"/>
              <w:bottom w:w="0" w:type="dxa"/>
              <w:right w:w="108" w:type="dxa"/>
            </w:tcMar>
            <w:hideMark/>
          </w:tcPr>
          <w:p w14:paraId="5054BA70"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3E865CFB" w14:textId="77777777">
        <w:trPr>
          <w:trHeight w:val="305"/>
        </w:trPr>
        <w:tc>
          <w:tcPr>
            <w:tcW w:w="1548" w:type="dxa"/>
            <w:vMerge/>
            <w:tcMar>
              <w:top w:w="0" w:type="dxa"/>
              <w:left w:w="108" w:type="dxa"/>
              <w:bottom w:w="0" w:type="dxa"/>
              <w:right w:w="108" w:type="dxa"/>
            </w:tcMar>
          </w:tcPr>
          <w:p w14:paraId="406CF4DB"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2EFA395F"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060" w:type="dxa"/>
          </w:tcPr>
          <w:p w14:paraId="5077B3BF" w14:textId="77777777" w:rsidR="0041126D" w:rsidRPr="004D40EA" w:rsidRDefault="0041126D">
            <w:pPr>
              <w:spacing w:after="0" w:line="240" w:lineRule="auto"/>
              <w:ind w:left="90"/>
              <w:contextualSpacing/>
              <w:jc w:val="center"/>
              <w:rPr>
                <w:rFonts w:ascii="Avenir Next LT Pro" w:hAnsi="Avenir Next LT Pro"/>
                <w:b/>
                <w:sz w:val="20"/>
                <w:szCs w:val="20"/>
              </w:rPr>
            </w:pPr>
            <w:r w:rsidRPr="004D40EA">
              <w:rPr>
                <w:rFonts w:ascii="Avenir Next LT Pro" w:hAnsi="Avenir Next LT Pro"/>
                <w:b/>
                <w:sz w:val="20"/>
                <w:szCs w:val="20"/>
              </w:rPr>
              <w:t xml:space="preserve">Outcomes (if </w:t>
            </w:r>
            <w:proofErr w:type="gramStart"/>
            <w:r w:rsidRPr="004D40EA">
              <w:rPr>
                <w:rFonts w:ascii="Avenir Next LT Pro" w:hAnsi="Avenir Next LT Pro"/>
                <w:b/>
                <w:sz w:val="20"/>
                <w:szCs w:val="20"/>
              </w:rPr>
              <w:t>applicable)*</w:t>
            </w:r>
            <w:proofErr w:type="gramEnd"/>
          </w:p>
        </w:tc>
        <w:tc>
          <w:tcPr>
            <w:tcW w:w="2700" w:type="dxa"/>
            <w:tcMar>
              <w:top w:w="0" w:type="dxa"/>
              <w:left w:w="108" w:type="dxa"/>
              <w:bottom w:w="0" w:type="dxa"/>
              <w:right w:w="108" w:type="dxa"/>
            </w:tcMar>
          </w:tcPr>
          <w:p w14:paraId="1B37961B"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263ADB03" w14:textId="77777777">
        <w:tc>
          <w:tcPr>
            <w:tcW w:w="1548" w:type="dxa"/>
            <w:tcMar>
              <w:top w:w="0" w:type="dxa"/>
              <w:left w:w="108" w:type="dxa"/>
              <w:bottom w:w="0" w:type="dxa"/>
              <w:right w:w="108" w:type="dxa"/>
            </w:tcMar>
          </w:tcPr>
          <w:p w14:paraId="43A9D47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Financial Literacy</w:t>
            </w:r>
          </w:p>
        </w:tc>
        <w:tc>
          <w:tcPr>
            <w:tcW w:w="2250" w:type="dxa"/>
            <w:tcMar>
              <w:top w:w="0" w:type="dxa"/>
              <w:left w:w="108" w:type="dxa"/>
              <w:bottom w:w="0" w:type="dxa"/>
              <w:right w:w="108" w:type="dxa"/>
            </w:tcMar>
          </w:tcPr>
          <w:p w14:paraId="654987F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O1A:  Number of individuals served </w:t>
            </w:r>
          </w:p>
        </w:tc>
        <w:tc>
          <w:tcPr>
            <w:tcW w:w="3060" w:type="dxa"/>
          </w:tcPr>
          <w:p w14:paraId="50F0FBCC"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O9:  Number of individuals with improved financial knowledge</w:t>
            </w:r>
          </w:p>
        </w:tc>
        <w:tc>
          <w:tcPr>
            <w:tcW w:w="2700" w:type="dxa"/>
            <w:tcMar>
              <w:top w:w="0" w:type="dxa"/>
              <w:left w:w="108" w:type="dxa"/>
              <w:bottom w:w="0" w:type="dxa"/>
              <w:right w:w="108" w:type="dxa"/>
            </w:tcMar>
          </w:tcPr>
          <w:p w14:paraId="47F8936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Financial Literacy Education</w:t>
            </w:r>
          </w:p>
        </w:tc>
      </w:tr>
      <w:tr w:rsidR="0041126D" w:rsidRPr="004D40EA" w14:paraId="113BFF90" w14:textId="77777777">
        <w:tc>
          <w:tcPr>
            <w:tcW w:w="1548" w:type="dxa"/>
            <w:vMerge w:val="restart"/>
            <w:tcMar>
              <w:top w:w="0" w:type="dxa"/>
              <w:left w:w="108" w:type="dxa"/>
              <w:bottom w:w="0" w:type="dxa"/>
              <w:right w:w="108" w:type="dxa"/>
            </w:tcMar>
          </w:tcPr>
          <w:p w14:paraId="3AF0D5B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w:t>
            </w:r>
          </w:p>
        </w:tc>
        <w:tc>
          <w:tcPr>
            <w:tcW w:w="2250" w:type="dxa"/>
            <w:tcMar>
              <w:top w:w="0" w:type="dxa"/>
              <w:left w:w="108" w:type="dxa"/>
              <w:bottom w:w="0" w:type="dxa"/>
              <w:right w:w="108" w:type="dxa"/>
            </w:tcMar>
          </w:tcPr>
          <w:p w14:paraId="444375D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O1A:  Number of individuals served </w:t>
            </w:r>
          </w:p>
        </w:tc>
        <w:tc>
          <w:tcPr>
            <w:tcW w:w="3060" w:type="dxa"/>
          </w:tcPr>
          <w:p w14:paraId="6B0D9BD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O11:  Number of individuals transitioned into safe, healthy, affordable housing</w:t>
            </w:r>
          </w:p>
        </w:tc>
        <w:tc>
          <w:tcPr>
            <w:tcW w:w="2700" w:type="dxa"/>
            <w:tcMar>
              <w:top w:w="0" w:type="dxa"/>
              <w:left w:w="108" w:type="dxa"/>
              <w:bottom w:w="0" w:type="dxa"/>
              <w:right w:w="108" w:type="dxa"/>
            </w:tcMar>
          </w:tcPr>
          <w:p w14:paraId="041F766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Development</w:t>
            </w:r>
          </w:p>
          <w:p w14:paraId="460ECA7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Repair</w:t>
            </w:r>
          </w:p>
          <w:p w14:paraId="407986F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Placement/Assistance</w:t>
            </w:r>
          </w:p>
        </w:tc>
      </w:tr>
      <w:tr w:rsidR="0041126D" w:rsidRPr="004D40EA" w14:paraId="585E389A" w14:textId="77777777">
        <w:tc>
          <w:tcPr>
            <w:tcW w:w="1548" w:type="dxa"/>
            <w:vMerge/>
            <w:tcMar>
              <w:top w:w="0" w:type="dxa"/>
              <w:left w:w="108" w:type="dxa"/>
              <w:bottom w:w="0" w:type="dxa"/>
              <w:right w:w="108" w:type="dxa"/>
            </w:tcMar>
          </w:tcPr>
          <w:p w14:paraId="45C7E984" w14:textId="77777777" w:rsidR="0041126D" w:rsidRPr="004D40EA" w:rsidDel="00E03DB9"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21563B4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O4:  Number of housing units developed or repaired</w:t>
            </w:r>
          </w:p>
        </w:tc>
        <w:tc>
          <w:tcPr>
            <w:tcW w:w="3060" w:type="dxa"/>
          </w:tcPr>
          <w:p w14:paraId="042BFF57" w14:textId="77777777" w:rsidR="0041126D" w:rsidRPr="004D40EA" w:rsidDel="00E01FA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O20:  Number of safe, healthy, affordable housing units made available</w:t>
            </w:r>
          </w:p>
        </w:tc>
        <w:tc>
          <w:tcPr>
            <w:tcW w:w="2700" w:type="dxa"/>
            <w:tcMar>
              <w:top w:w="0" w:type="dxa"/>
              <w:left w:w="108" w:type="dxa"/>
              <w:bottom w:w="0" w:type="dxa"/>
              <w:right w:w="108" w:type="dxa"/>
            </w:tcMar>
          </w:tcPr>
          <w:p w14:paraId="26EF4E1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Development</w:t>
            </w:r>
          </w:p>
          <w:p w14:paraId="4593F65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Repair</w:t>
            </w:r>
          </w:p>
        </w:tc>
      </w:tr>
      <w:tr w:rsidR="0041126D" w:rsidRPr="004D40EA" w14:paraId="121FDE8A" w14:textId="77777777">
        <w:tc>
          <w:tcPr>
            <w:tcW w:w="1548" w:type="dxa"/>
            <w:tcMar>
              <w:top w:w="0" w:type="dxa"/>
              <w:left w:w="108" w:type="dxa"/>
              <w:bottom w:w="0" w:type="dxa"/>
              <w:right w:w="108" w:type="dxa"/>
            </w:tcMar>
          </w:tcPr>
          <w:p w14:paraId="31AE535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Employment</w:t>
            </w:r>
          </w:p>
        </w:tc>
        <w:tc>
          <w:tcPr>
            <w:tcW w:w="2250" w:type="dxa"/>
            <w:tcMar>
              <w:top w:w="0" w:type="dxa"/>
              <w:left w:w="108" w:type="dxa"/>
              <w:bottom w:w="0" w:type="dxa"/>
              <w:right w:w="108" w:type="dxa"/>
            </w:tcMar>
          </w:tcPr>
          <w:p w14:paraId="07C04A4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O1A:  Number of individuals served </w:t>
            </w:r>
          </w:p>
        </w:tc>
        <w:tc>
          <w:tcPr>
            <w:tcW w:w="3060" w:type="dxa"/>
          </w:tcPr>
          <w:p w14:paraId="76EE9AE6"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O10:  Number of individuals who secure </w:t>
            </w:r>
            <w:proofErr w:type="gramStart"/>
            <w:r w:rsidRPr="004D40EA">
              <w:rPr>
                <w:rFonts w:ascii="Avenir Next LT Pro" w:hAnsi="Avenir Next LT Pro"/>
                <w:sz w:val="20"/>
                <w:szCs w:val="20"/>
              </w:rPr>
              <w:t>employment</w:t>
            </w:r>
            <w:proofErr w:type="gramEnd"/>
            <w:r w:rsidRPr="004D40EA" w:rsidDel="00E01FAA">
              <w:rPr>
                <w:rFonts w:ascii="Avenir Next LT Pro" w:hAnsi="Avenir Next LT Pro"/>
                <w:sz w:val="20"/>
                <w:szCs w:val="20"/>
              </w:rPr>
              <w:t xml:space="preserve"> </w:t>
            </w:r>
          </w:p>
          <w:p w14:paraId="3AB9553A" w14:textId="77777777" w:rsidR="0041126D" w:rsidRPr="004D40EA" w:rsidRDefault="0041126D">
            <w:pPr>
              <w:spacing w:after="0" w:line="240" w:lineRule="auto"/>
              <w:ind w:left="90"/>
              <w:contextualSpacing/>
              <w:rPr>
                <w:rFonts w:ascii="Avenir Next LT Pro" w:hAnsi="Avenir Next LT Pro"/>
                <w:sz w:val="20"/>
                <w:szCs w:val="20"/>
              </w:rPr>
            </w:pPr>
          </w:p>
          <w:p w14:paraId="73076CA8"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O21:  Number of individuals with improved job readiness</w:t>
            </w:r>
            <w:r w:rsidRPr="004D40EA" w:rsidDel="00E01FAA">
              <w:rPr>
                <w:rFonts w:ascii="Avenir Next LT Pro" w:hAnsi="Avenir Next LT Pro"/>
                <w:sz w:val="20"/>
                <w:szCs w:val="20"/>
              </w:rPr>
              <w:t xml:space="preserve"> </w:t>
            </w:r>
          </w:p>
        </w:tc>
        <w:tc>
          <w:tcPr>
            <w:tcW w:w="2700" w:type="dxa"/>
            <w:tcMar>
              <w:top w:w="0" w:type="dxa"/>
              <w:left w:w="108" w:type="dxa"/>
              <w:bottom w:w="0" w:type="dxa"/>
              <w:right w:w="108" w:type="dxa"/>
            </w:tcMar>
          </w:tcPr>
          <w:p w14:paraId="7EE05A0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Job Training</w:t>
            </w:r>
          </w:p>
          <w:p w14:paraId="7FEA6EB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Job Placement</w:t>
            </w:r>
          </w:p>
          <w:p w14:paraId="5FA6814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GED Education</w:t>
            </w:r>
          </w:p>
          <w:p w14:paraId="11B9708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Adult Education</w:t>
            </w:r>
          </w:p>
        </w:tc>
      </w:tr>
      <w:tr w:rsidR="0041126D" w:rsidRPr="004D40EA" w14:paraId="059A9F8C" w14:textId="77777777">
        <w:tc>
          <w:tcPr>
            <w:tcW w:w="1548" w:type="dxa"/>
            <w:tcMar>
              <w:top w:w="0" w:type="dxa"/>
              <w:left w:w="108" w:type="dxa"/>
              <w:bottom w:w="0" w:type="dxa"/>
              <w:right w:w="108" w:type="dxa"/>
            </w:tcMar>
          </w:tcPr>
          <w:p w14:paraId="6BA91DA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Find Opportunity</w:t>
            </w:r>
          </w:p>
        </w:tc>
        <w:tc>
          <w:tcPr>
            <w:tcW w:w="2250" w:type="dxa"/>
            <w:tcMar>
              <w:top w:w="0" w:type="dxa"/>
              <w:left w:w="108" w:type="dxa"/>
              <w:bottom w:w="0" w:type="dxa"/>
              <w:right w:w="108" w:type="dxa"/>
            </w:tcMar>
          </w:tcPr>
          <w:p w14:paraId="51E2D75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N/A (outputs may be reported as Performance Data Elements on annual Progress Reports) </w:t>
            </w:r>
          </w:p>
        </w:tc>
        <w:tc>
          <w:tcPr>
            <w:tcW w:w="3060" w:type="dxa"/>
          </w:tcPr>
          <w:p w14:paraId="066B4E38"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N/A (outcomes may be reported as Performance Data Elements on annual Progress Reports)</w:t>
            </w:r>
          </w:p>
        </w:tc>
        <w:tc>
          <w:tcPr>
            <w:tcW w:w="2700" w:type="dxa"/>
            <w:tcMar>
              <w:top w:w="0" w:type="dxa"/>
              <w:left w:w="108" w:type="dxa"/>
              <w:bottom w:w="0" w:type="dxa"/>
              <w:right w:w="108" w:type="dxa"/>
            </w:tcMar>
          </w:tcPr>
          <w:p w14:paraId="5DA45D4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N/A</w:t>
            </w:r>
          </w:p>
        </w:tc>
      </w:tr>
      <w:tr w:rsidR="0041126D" w:rsidRPr="004D40EA" w14:paraId="0F4C7F9F" w14:textId="77777777">
        <w:tc>
          <w:tcPr>
            <w:tcW w:w="1548" w:type="dxa"/>
            <w:tcMar>
              <w:top w:w="0" w:type="dxa"/>
              <w:left w:w="108" w:type="dxa"/>
              <w:bottom w:w="0" w:type="dxa"/>
              <w:right w:w="108" w:type="dxa"/>
            </w:tcMar>
          </w:tcPr>
          <w:p w14:paraId="17E766E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Economic Opportunity</w:t>
            </w:r>
          </w:p>
        </w:tc>
        <w:tc>
          <w:tcPr>
            <w:tcW w:w="2250" w:type="dxa"/>
            <w:tcMar>
              <w:top w:w="0" w:type="dxa"/>
              <w:left w:w="108" w:type="dxa"/>
              <w:bottom w:w="0" w:type="dxa"/>
              <w:right w:w="108" w:type="dxa"/>
            </w:tcMar>
          </w:tcPr>
          <w:p w14:paraId="236433E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O1A:  Number of individuals served</w:t>
            </w:r>
          </w:p>
        </w:tc>
        <w:tc>
          <w:tcPr>
            <w:tcW w:w="3060" w:type="dxa"/>
          </w:tcPr>
          <w:p w14:paraId="56278898"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Applicant-determined</w:t>
            </w:r>
          </w:p>
        </w:tc>
        <w:tc>
          <w:tcPr>
            <w:tcW w:w="2700" w:type="dxa"/>
            <w:tcMar>
              <w:top w:w="0" w:type="dxa"/>
              <w:left w:w="108" w:type="dxa"/>
              <w:bottom w:w="0" w:type="dxa"/>
              <w:right w:w="108" w:type="dxa"/>
            </w:tcMar>
          </w:tcPr>
          <w:p w14:paraId="45B0161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Applicant-determined</w:t>
            </w:r>
          </w:p>
        </w:tc>
      </w:tr>
    </w:tbl>
    <w:p w14:paraId="04C8B5A1"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22ECA42D"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sz w:val="20"/>
          <w:szCs w:val="20"/>
        </w:rPr>
        <w:br w:type="page"/>
      </w:r>
      <w:r w:rsidRPr="004D40EA">
        <w:rPr>
          <w:rFonts w:ascii="Avenir Next LT Pro" w:hAnsi="Avenir Next LT Pro"/>
          <w:b/>
          <w:sz w:val="20"/>
          <w:szCs w:val="20"/>
        </w:rPr>
        <w:lastRenderedPageBreak/>
        <w:t>Education</w:t>
      </w:r>
    </w:p>
    <w:p w14:paraId="6B631F26" w14:textId="77777777" w:rsidR="0041126D" w:rsidRPr="004D40EA" w:rsidRDefault="0041126D" w:rsidP="0041126D">
      <w:pPr>
        <w:spacing w:after="0" w:line="240" w:lineRule="auto"/>
        <w:contextualSpacing/>
        <w:rPr>
          <w:rFonts w:ascii="Avenir Next LT Pro" w:hAnsi="Avenir Next LT Pro"/>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8"/>
        <w:gridCol w:w="2250"/>
        <w:gridCol w:w="3150"/>
        <w:gridCol w:w="2628"/>
      </w:tblGrid>
      <w:tr w:rsidR="0041126D" w:rsidRPr="004D40EA" w14:paraId="4FC04FAE" w14:textId="77777777" w:rsidTr="5779A35C">
        <w:trPr>
          <w:trHeight w:val="228"/>
        </w:trPr>
        <w:tc>
          <w:tcPr>
            <w:tcW w:w="1548" w:type="dxa"/>
            <w:vMerge w:val="restart"/>
            <w:tcMar>
              <w:top w:w="0" w:type="dxa"/>
              <w:left w:w="108" w:type="dxa"/>
              <w:bottom w:w="0" w:type="dxa"/>
              <w:right w:w="108" w:type="dxa"/>
            </w:tcMar>
            <w:hideMark/>
          </w:tcPr>
          <w:p w14:paraId="54AED59C"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00" w:type="dxa"/>
            <w:gridSpan w:val="2"/>
            <w:tcMar>
              <w:top w:w="0" w:type="dxa"/>
              <w:left w:w="108" w:type="dxa"/>
              <w:bottom w:w="0" w:type="dxa"/>
              <w:right w:w="108" w:type="dxa"/>
            </w:tcMar>
            <w:hideMark/>
          </w:tcPr>
          <w:p w14:paraId="5245B596"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628" w:type="dxa"/>
            <w:vMerge w:val="restart"/>
            <w:tcMar>
              <w:top w:w="0" w:type="dxa"/>
              <w:left w:w="108" w:type="dxa"/>
              <w:bottom w:w="0" w:type="dxa"/>
              <w:right w:w="108" w:type="dxa"/>
            </w:tcMar>
            <w:hideMark/>
          </w:tcPr>
          <w:p w14:paraId="57541541" w14:textId="77777777" w:rsidR="0041126D" w:rsidRPr="004D40EA" w:rsidRDefault="0041126D">
            <w:pPr>
              <w:spacing w:after="0" w:line="240" w:lineRule="auto"/>
              <w:contextualSpacing/>
              <w:jc w:val="center"/>
              <w:rPr>
                <w:rFonts w:ascii="Avenir Next LT Pro" w:hAnsi="Avenir Next LT Pro"/>
                <w:b/>
                <w:bCs/>
                <w:sz w:val="20"/>
                <w:szCs w:val="20"/>
              </w:rPr>
            </w:pPr>
            <w:r w:rsidRPr="5779A35C">
              <w:rPr>
                <w:rFonts w:ascii="Avenir Next LT Pro" w:hAnsi="Avenir Next LT Pro"/>
                <w:b/>
                <w:bCs/>
                <w:sz w:val="20"/>
                <w:szCs w:val="20"/>
              </w:rPr>
              <w:t>Interventions</w:t>
            </w:r>
          </w:p>
        </w:tc>
      </w:tr>
      <w:tr w:rsidR="0041126D" w:rsidRPr="004D40EA" w14:paraId="5A726D64" w14:textId="77777777" w:rsidTr="5779A35C">
        <w:trPr>
          <w:trHeight w:val="374"/>
        </w:trPr>
        <w:tc>
          <w:tcPr>
            <w:tcW w:w="1548" w:type="dxa"/>
            <w:vMerge/>
            <w:tcMar>
              <w:top w:w="0" w:type="dxa"/>
              <w:left w:w="108" w:type="dxa"/>
              <w:bottom w:w="0" w:type="dxa"/>
              <w:right w:w="108" w:type="dxa"/>
            </w:tcMar>
          </w:tcPr>
          <w:p w14:paraId="1FBDA3B9"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493EBE0F"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150" w:type="dxa"/>
          </w:tcPr>
          <w:p w14:paraId="070E14BA"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xml:space="preserve">Outcomes (if </w:t>
            </w:r>
            <w:proofErr w:type="gramStart"/>
            <w:r w:rsidRPr="004D40EA">
              <w:rPr>
                <w:rFonts w:ascii="Avenir Next LT Pro" w:hAnsi="Avenir Next LT Pro"/>
                <w:b/>
                <w:sz w:val="20"/>
                <w:szCs w:val="20"/>
              </w:rPr>
              <w:t>applicable)*</w:t>
            </w:r>
            <w:proofErr w:type="gramEnd"/>
          </w:p>
        </w:tc>
        <w:tc>
          <w:tcPr>
            <w:tcW w:w="2628" w:type="dxa"/>
            <w:vMerge/>
            <w:tcMar>
              <w:top w:w="0" w:type="dxa"/>
              <w:left w:w="108" w:type="dxa"/>
              <w:bottom w:w="0" w:type="dxa"/>
              <w:right w:w="108" w:type="dxa"/>
            </w:tcMar>
          </w:tcPr>
          <w:p w14:paraId="423DDDCA"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752D7064" w14:textId="77777777" w:rsidTr="5779A35C">
        <w:trPr>
          <w:trHeight w:val="1829"/>
        </w:trPr>
        <w:tc>
          <w:tcPr>
            <w:tcW w:w="1548" w:type="dxa"/>
            <w:tcMar>
              <w:top w:w="0" w:type="dxa"/>
              <w:left w:w="108" w:type="dxa"/>
              <w:bottom w:w="0" w:type="dxa"/>
              <w:right w:w="108" w:type="dxa"/>
            </w:tcMar>
            <w:hideMark/>
          </w:tcPr>
          <w:p w14:paraId="72DB7B7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School Readiness</w:t>
            </w:r>
          </w:p>
        </w:tc>
        <w:tc>
          <w:tcPr>
            <w:tcW w:w="2250" w:type="dxa"/>
            <w:tcMar>
              <w:top w:w="0" w:type="dxa"/>
              <w:left w:w="108" w:type="dxa"/>
              <w:bottom w:w="0" w:type="dxa"/>
              <w:right w:w="108" w:type="dxa"/>
            </w:tcMar>
            <w:hideMark/>
          </w:tcPr>
          <w:p w14:paraId="691C011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Number of individuals served</w:t>
            </w:r>
          </w:p>
        </w:tc>
        <w:tc>
          <w:tcPr>
            <w:tcW w:w="3150" w:type="dxa"/>
          </w:tcPr>
          <w:p w14:paraId="72626ADA"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ED23A:  Number of children demonstrating gains in school readiness</w:t>
            </w:r>
          </w:p>
        </w:tc>
        <w:tc>
          <w:tcPr>
            <w:tcW w:w="2628" w:type="dxa"/>
            <w:tcMar>
              <w:top w:w="0" w:type="dxa"/>
              <w:left w:w="108" w:type="dxa"/>
              <w:bottom w:w="0" w:type="dxa"/>
              <w:right w:w="108" w:type="dxa"/>
            </w:tcMar>
            <w:hideMark/>
          </w:tcPr>
          <w:p w14:paraId="44AA206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Tutoring</w:t>
            </w:r>
          </w:p>
          <w:p w14:paraId="4DAB2A4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p w14:paraId="3A80B09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Classroom Support</w:t>
            </w:r>
          </w:p>
          <w:p w14:paraId="76046F4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Out-of-School Time</w:t>
            </w:r>
          </w:p>
          <w:p w14:paraId="232E7E8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p w14:paraId="49B95C5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p>
          <w:p w14:paraId="6719024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Summer Learning</w:t>
            </w:r>
          </w:p>
          <w:p w14:paraId="457A0563" w14:textId="77777777"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Classroom Teaching</w:t>
            </w:r>
          </w:p>
        </w:tc>
      </w:tr>
      <w:tr w:rsidR="0041126D" w:rsidRPr="004D40EA" w14:paraId="2DC08F8A" w14:textId="77777777" w:rsidTr="5779A35C">
        <w:trPr>
          <w:trHeight w:val="4574"/>
        </w:trPr>
        <w:tc>
          <w:tcPr>
            <w:tcW w:w="1548" w:type="dxa"/>
            <w:tcMar>
              <w:top w:w="0" w:type="dxa"/>
              <w:left w:w="108" w:type="dxa"/>
              <w:bottom w:w="0" w:type="dxa"/>
              <w:right w:w="108" w:type="dxa"/>
            </w:tcMar>
            <w:hideMark/>
          </w:tcPr>
          <w:p w14:paraId="6B3DACD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K-12 Success</w:t>
            </w:r>
          </w:p>
        </w:tc>
        <w:tc>
          <w:tcPr>
            <w:tcW w:w="2250" w:type="dxa"/>
            <w:tcMar>
              <w:top w:w="0" w:type="dxa"/>
              <w:left w:w="108" w:type="dxa"/>
              <w:bottom w:w="0" w:type="dxa"/>
              <w:right w:w="108" w:type="dxa"/>
            </w:tcMar>
            <w:hideMark/>
          </w:tcPr>
          <w:p w14:paraId="381C2EA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Number of individuals served</w:t>
            </w:r>
          </w:p>
        </w:tc>
        <w:tc>
          <w:tcPr>
            <w:tcW w:w="3150" w:type="dxa"/>
          </w:tcPr>
          <w:p w14:paraId="2C35F32A"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ED5A:  Number of students with improved academic performance </w:t>
            </w:r>
          </w:p>
          <w:p w14:paraId="2CBE64D5" w14:textId="77777777" w:rsidR="0041126D" w:rsidRPr="004D40EA" w:rsidRDefault="0041126D">
            <w:pPr>
              <w:spacing w:after="0" w:line="240" w:lineRule="auto"/>
              <w:ind w:left="90"/>
              <w:contextualSpacing/>
              <w:rPr>
                <w:rFonts w:ascii="Avenir Next LT Pro" w:hAnsi="Avenir Next LT Pro"/>
                <w:sz w:val="20"/>
                <w:szCs w:val="20"/>
              </w:rPr>
            </w:pPr>
          </w:p>
          <w:p w14:paraId="1F2EF94D"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ED9:  Number of students graduating from high school on </w:t>
            </w:r>
            <w:proofErr w:type="gramStart"/>
            <w:r w:rsidRPr="004D40EA">
              <w:rPr>
                <w:rFonts w:ascii="Avenir Next LT Pro" w:hAnsi="Avenir Next LT Pro"/>
                <w:sz w:val="20"/>
                <w:szCs w:val="20"/>
              </w:rPr>
              <w:t>time</w:t>
            </w:r>
            <w:proofErr w:type="gramEnd"/>
          </w:p>
          <w:p w14:paraId="681EC21B" w14:textId="77777777" w:rsidR="0041126D" w:rsidRPr="004D40EA" w:rsidRDefault="0041126D">
            <w:pPr>
              <w:spacing w:after="0" w:line="240" w:lineRule="auto"/>
              <w:ind w:left="90"/>
              <w:contextualSpacing/>
              <w:rPr>
                <w:rFonts w:ascii="Avenir Next LT Pro" w:hAnsi="Avenir Next LT Pro"/>
                <w:sz w:val="20"/>
                <w:szCs w:val="20"/>
              </w:rPr>
            </w:pPr>
          </w:p>
          <w:p w14:paraId="7F097C6B"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ED10:  Number of students enrolling in post-secondary education/</w:t>
            </w:r>
            <w:proofErr w:type="gramStart"/>
            <w:r w:rsidRPr="004D40EA">
              <w:rPr>
                <w:rFonts w:ascii="Avenir Next LT Pro" w:hAnsi="Avenir Next LT Pro"/>
                <w:sz w:val="20"/>
                <w:szCs w:val="20"/>
              </w:rPr>
              <w:t>training</w:t>
            </w:r>
            <w:proofErr w:type="gramEnd"/>
          </w:p>
          <w:p w14:paraId="29F70351" w14:textId="77777777" w:rsidR="0041126D" w:rsidRPr="004D40EA" w:rsidRDefault="0041126D">
            <w:pPr>
              <w:spacing w:after="0" w:line="240" w:lineRule="auto"/>
              <w:ind w:left="90"/>
              <w:contextualSpacing/>
              <w:rPr>
                <w:rFonts w:ascii="Avenir Next LT Pro" w:hAnsi="Avenir Next LT Pro"/>
                <w:sz w:val="20"/>
                <w:szCs w:val="20"/>
              </w:rPr>
            </w:pPr>
          </w:p>
          <w:p w14:paraId="04470A61"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ED27C:  Number of students with improved academic engagement or social-emotional skills</w:t>
            </w:r>
          </w:p>
          <w:p w14:paraId="3465D772" w14:textId="77777777" w:rsidR="0041126D" w:rsidRPr="004D40EA" w:rsidRDefault="0041126D">
            <w:pPr>
              <w:spacing w:after="0" w:line="240" w:lineRule="auto"/>
              <w:ind w:left="90"/>
              <w:contextualSpacing/>
              <w:rPr>
                <w:rFonts w:ascii="Avenir Next LT Pro" w:hAnsi="Avenir Next LT Pro"/>
                <w:sz w:val="20"/>
                <w:szCs w:val="20"/>
              </w:rPr>
            </w:pPr>
          </w:p>
          <w:p w14:paraId="420710B2"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ED6:  Number of students with increased attendance</w:t>
            </w:r>
          </w:p>
          <w:p w14:paraId="2418662A" w14:textId="77777777" w:rsidR="0041126D" w:rsidRPr="004D40EA" w:rsidRDefault="0041126D">
            <w:pPr>
              <w:spacing w:after="0" w:line="240" w:lineRule="auto"/>
              <w:ind w:left="90"/>
              <w:contextualSpacing/>
              <w:rPr>
                <w:rFonts w:ascii="Avenir Next LT Pro" w:hAnsi="Avenir Next LT Pro"/>
                <w:sz w:val="20"/>
                <w:szCs w:val="20"/>
              </w:rPr>
            </w:pPr>
          </w:p>
          <w:p w14:paraId="57142981"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ED7A:  Number of students with decreased disciplinary incidents (referrals, suspensions/expulsions, criminal or gang involvement)</w:t>
            </w:r>
          </w:p>
        </w:tc>
        <w:tc>
          <w:tcPr>
            <w:tcW w:w="2628" w:type="dxa"/>
            <w:tcMar>
              <w:top w:w="0" w:type="dxa"/>
              <w:left w:w="108" w:type="dxa"/>
              <w:bottom w:w="0" w:type="dxa"/>
              <w:right w:w="108" w:type="dxa"/>
            </w:tcMar>
            <w:hideMark/>
          </w:tcPr>
          <w:p w14:paraId="3B89284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Tutoring</w:t>
            </w:r>
          </w:p>
          <w:p w14:paraId="17DC2E8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p w14:paraId="74F0A92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Coaching</w:t>
            </w:r>
          </w:p>
          <w:p w14:paraId="4F9565E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Classroom Support</w:t>
            </w:r>
          </w:p>
          <w:p w14:paraId="31722B3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Out-of-School Time</w:t>
            </w:r>
          </w:p>
          <w:p w14:paraId="03F021C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p w14:paraId="2E4D093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p>
          <w:p w14:paraId="5C66693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Summer Learning</w:t>
            </w:r>
          </w:p>
          <w:p w14:paraId="5FDFBA6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Classroom Teaching</w:t>
            </w:r>
          </w:p>
          <w:p w14:paraId="24FEBD3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Opioid/Drug Intervention</w:t>
            </w:r>
          </w:p>
          <w:p w14:paraId="5BAD9882"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1DB5A9AB" w14:textId="77777777" w:rsidTr="5779A35C">
        <w:trPr>
          <w:trHeight w:val="1143"/>
        </w:trPr>
        <w:tc>
          <w:tcPr>
            <w:tcW w:w="1548" w:type="dxa"/>
            <w:tcMar>
              <w:top w:w="0" w:type="dxa"/>
              <w:left w:w="108" w:type="dxa"/>
              <w:bottom w:w="0" w:type="dxa"/>
              <w:right w:w="108" w:type="dxa"/>
            </w:tcMar>
            <w:hideMark/>
          </w:tcPr>
          <w:p w14:paraId="4F4F729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Post-HS Education Support</w:t>
            </w:r>
          </w:p>
        </w:tc>
        <w:tc>
          <w:tcPr>
            <w:tcW w:w="2250" w:type="dxa"/>
            <w:tcMar>
              <w:top w:w="0" w:type="dxa"/>
              <w:left w:w="108" w:type="dxa"/>
              <w:bottom w:w="0" w:type="dxa"/>
              <w:right w:w="108" w:type="dxa"/>
            </w:tcMar>
            <w:hideMark/>
          </w:tcPr>
          <w:p w14:paraId="35EB829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Number of individuals served</w:t>
            </w:r>
          </w:p>
        </w:tc>
        <w:tc>
          <w:tcPr>
            <w:tcW w:w="3150" w:type="dxa"/>
          </w:tcPr>
          <w:p w14:paraId="26FE9BA0" w14:textId="77777777" w:rsidR="0041126D" w:rsidRPr="004D40EA" w:rsidRDefault="0041126D">
            <w:pPr>
              <w:spacing w:after="0" w:line="240" w:lineRule="auto"/>
              <w:ind w:left="90"/>
              <w:contextualSpacing/>
              <w:rPr>
                <w:rFonts w:ascii="Avenir Next LT Pro" w:hAnsi="Avenir Next LT Pro"/>
                <w:sz w:val="20"/>
                <w:szCs w:val="20"/>
              </w:rPr>
            </w:pPr>
            <w:r w:rsidRPr="5779A35C">
              <w:rPr>
                <w:rFonts w:ascii="Avenir Next LT Pro" w:hAnsi="Avenir Next LT Pro"/>
                <w:sz w:val="20"/>
                <w:szCs w:val="20"/>
              </w:rPr>
              <w:t>ED11:  Number of individuals earning a post-secondary degree or technical certification</w:t>
            </w:r>
          </w:p>
        </w:tc>
        <w:tc>
          <w:tcPr>
            <w:tcW w:w="2628" w:type="dxa"/>
            <w:tcMar>
              <w:top w:w="0" w:type="dxa"/>
              <w:left w:w="108" w:type="dxa"/>
              <w:bottom w:w="0" w:type="dxa"/>
              <w:right w:w="108" w:type="dxa"/>
            </w:tcMar>
            <w:hideMark/>
          </w:tcPr>
          <w:p w14:paraId="10A513C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Tutoring</w:t>
            </w:r>
          </w:p>
          <w:p w14:paraId="27F3A9A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p w14:paraId="49C0640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p w14:paraId="74C9494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p>
          <w:p w14:paraId="690C737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Summer Learning</w:t>
            </w:r>
          </w:p>
        </w:tc>
      </w:tr>
      <w:tr w:rsidR="0041126D" w:rsidRPr="004D40EA" w14:paraId="2E7F82FA" w14:textId="77777777" w:rsidTr="5779A35C">
        <w:trPr>
          <w:trHeight w:val="686"/>
        </w:trPr>
        <w:tc>
          <w:tcPr>
            <w:tcW w:w="1548" w:type="dxa"/>
            <w:tcMar>
              <w:top w:w="0" w:type="dxa"/>
              <w:left w:w="108" w:type="dxa"/>
              <w:bottom w:w="0" w:type="dxa"/>
              <w:right w:w="108" w:type="dxa"/>
            </w:tcMar>
          </w:tcPr>
          <w:p w14:paraId="5D3AC30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Teacher Corps</w:t>
            </w:r>
          </w:p>
        </w:tc>
        <w:tc>
          <w:tcPr>
            <w:tcW w:w="2250" w:type="dxa"/>
            <w:tcMar>
              <w:top w:w="0" w:type="dxa"/>
              <w:left w:w="108" w:type="dxa"/>
              <w:bottom w:w="0" w:type="dxa"/>
              <w:right w:w="108" w:type="dxa"/>
            </w:tcMar>
          </w:tcPr>
          <w:p w14:paraId="3258254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N/A (outputs may be reported as Performance Data Elements on annual Progress Reports) </w:t>
            </w:r>
          </w:p>
        </w:tc>
        <w:tc>
          <w:tcPr>
            <w:tcW w:w="3150" w:type="dxa"/>
          </w:tcPr>
          <w:p w14:paraId="7A9AF0CD"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N/A (outcomes may be reported as Performance Data Elements on annual Progress Reports)</w:t>
            </w:r>
          </w:p>
        </w:tc>
        <w:tc>
          <w:tcPr>
            <w:tcW w:w="2628" w:type="dxa"/>
            <w:tcMar>
              <w:top w:w="0" w:type="dxa"/>
              <w:left w:w="108" w:type="dxa"/>
              <w:bottom w:w="0" w:type="dxa"/>
              <w:right w:w="108" w:type="dxa"/>
            </w:tcMar>
          </w:tcPr>
          <w:p w14:paraId="2514EAC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N/A</w:t>
            </w:r>
          </w:p>
        </w:tc>
      </w:tr>
      <w:tr w:rsidR="0041126D" w:rsidRPr="004D40EA" w14:paraId="32BD0243" w14:textId="77777777" w:rsidTr="5779A35C">
        <w:trPr>
          <w:trHeight w:val="686"/>
        </w:trPr>
        <w:tc>
          <w:tcPr>
            <w:tcW w:w="1548" w:type="dxa"/>
            <w:tcMar>
              <w:top w:w="0" w:type="dxa"/>
              <w:left w:w="108" w:type="dxa"/>
              <w:bottom w:w="0" w:type="dxa"/>
              <w:right w:w="108" w:type="dxa"/>
            </w:tcMar>
          </w:tcPr>
          <w:p w14:paraId="6CD06A8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Education</w:t>
            </w:r>
          </w:p>
        </w:tc>
        <w:tc>
          <w:tcPr>
            <w:tcW w:w="2250" w:type="dxa"/>
            <w:tcMar>
              <w:top w:w="0" w:type="dxa"/>
              <w:left w:w="108" w:type="dxa"/>
              <w:bottom w:w="0" w:type="dxa"/>
              <w:right w:w="108" w:type="dxa"/>
            </w:tcMar>
          </w:tcPr>
          <w:p w14:paraId="12931E8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Number of individuals served</w:t>
            </w:r>
          </w:p>
        </w:tc>
        <w:tc>
          <w:tcPr>
            <w:tcW w:w="3150" w:type="dxa"/>
          </w:tcPr>
          <w:p w14:paraId="3107BD8C"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Applicant-determined</w:t>
            </w:r>
          </w:p>
        </w:tc>
        <w:tc>
          <w:tcPr>
            <w:tcW w:w="2628" w:type="dxa"/>
            <w:tcMar>
              <w:top w:w="0" w:type="dxa"/>
              <w:left w:w="108" w:type="dxa"/>
              <w:bottom w:w="0" w:type="dxa"/>
              <w:right w:w="108" w:type="dxa"/>
            </w:tcMar>
          </w:tcPr>
          <w:p w14:paraId="10FF71C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Applicant-determined</w:t>
            </w:r>
          </w:p>
        </w:tc>
      </w:tr>
    </w:tbl>
    <w:p w14:paraId="180CA0CE"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3781B7DB" w14:textId="77777777" w:rsidR="0041126D" w:rsidRPr="004D40EA" w:rsidRDefault="0041126D" w:rsidP="0041126D">
      <w:pPr>
        <w:spacing w:after="0" w:line="240" w:lineRule="auto"/>
        <w:contextualSpacing/>
        <w:rPr>
          <w:rFonts w:ascii="Avenir Next LT Pro" w:hAnsi="Avenir Next LT Pro"/>
          <w:sz w:val="20"/>
          <w:szCs w:val="20"/>
        </w:rPr>
      </w:pPr>
    </w:p>
    <w:p w14:paraId="25593999" w14:textId="14EFE7BB"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lastRenderedPageBreak/>
        <w:t>Environmental Stewardship</w:t>
      </w:r>
    </w:p>
    <w:p w14:paraId="6B03662A" w14:textId="77777777" w:rsidR="0041126D" w:rsidRPr="004D40EA" w:rsidRDefault="0041126D" w:rsidP="0041126D">
      <w:pPr>
        <w:spacing w:after="0" w:line="240" w:lineRule="auto"/>
        <w:contextualSpacing/>
        <w:rPr>
          <w:rFonts w:ascii="Avenir Next LT Pro" w:hAnsi="Avenir Next LT Pro"/>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8"/>
        <w:gridCol w:w="2250"/>
        <w:gridCol w:w="3150"/>
        <w:gridCol w:w="2628"/>
      </w:tblGrid>
      <w:tr w:rsidR="0041126D" w:rsidRPr="004D40EA" w14:paraId="066BC41E" w14:textId="77777777">
        <w:tc>
          <w:tcPr>
            <w:tcW w:w="1548" w:type="dxa"/>
            <w:vMerge w:val="restart"/>
            <w:tcMar>
              <w:top w:w="0" w:type="dxa"/>
              <w:left w:w="108" w:type="dxa"/>
              <w:bottom w:w="0" w:type="dxa"/>
              <w:right w:w="108" w:type="dxa"/>
            </w:tcMar>
            <w:hideMark/>
          </w:tcPr>
          <w:p w14:paraId="7C735350"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00" w:type="dxa"/>
            <w:gridSpan w:val="2"/>
            <w:tcMar>
              <w:top w:w="0" w:type="dxa"/>
              <w:left w:w="108" w:type="dxa"/>
              <w:bottom w:w="0" w:type="dxa"/>
              <w:right w:w="108" w:type="dxa"/>
            </w:tcMar>
            <w:hideMark/>
          </w:tcPr>
          <w:p w14:paraId="6F502037"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628" w:type="dxa"/>
            <w:vMerge w:val="restart"/>
            <w:tcMar>
              <w:top w:w="0" w:type="dxa"/>
              <w:left w:w="108" w:type="dxa"/>
              <w:bottom w:w="0" w:type="dxa"/>
              <w:right w:w="108" w:type="dxa"/>
            </w:tcMar>
            <w:hideMark/>
          </w:tcPr>
          <w:p w14:paraId="6FF0DD6E"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31818391" w14:textId="77777777">
        <w:trPr>
          <w:trHeight w:val="377"/>
        </w:trPr>
        <w:tc>
          <w:tcPr>
            <w:tcW w:w="1548" w:type="dxa"/>
            <w:vMerge/>
            <w:tcMar>
              <w:top w:w="0" w:type="dxa"/>
              <w:left w:w="108" w:type="dxa"/>
              <w:bottom w:w="0" w:type="dxa"/>
              <w:right w:w="108" w:type="dxa"/>
            </w:tcMar>
          </w:tcPr>
          <w:p w14:paraId="6F4F6FD0"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55817240"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150" w:type="dxa"/>
          </w:tcPr>
          <w:p w14:paraId="6208EC78"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xml:space="preserve">Outcomes (if </w:t>
            </w:r>
            <w:proofErr w:type="gramStart"/>
            <w:r w:rsidRPr="004D40EA">
              <w:rPr>
                <w:rFonts w:ascii="Avenir Next LT Pro" w:hAnsi="Avenir Next LT Pro"/>
                <w:b/>
                <w:sz w:val="20"/>
                <w:szCs w:val="20"/>
              </w:rPr>
              <w:t>applicable)*</w:t>
            </w:r>
            <w:proofErr w:type="gramEnd"/>
          </w:p>
        </w:tc>
        <w:tc>
          <w:tcPr>
            <w:tcW w:w="2628" w:type="dxa"/>
            <w:vMerge/>
            <w:tcMar>
              <w:top w:w="0" w:type="dxa"/>
              <w:left w:w="108" w:type="dxa"/>
              <w:bottom w:w="0" w:type="dxa"/>
              <w:right w:w="108" w:type="dxa"/>
            </w:tcMar>
          </w:tcPr>
          <w:p w14:paraId="0B64B507"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2FB19504" w14:textId="77777777">
        <w:tc>
          <w:tcPr>
            <w:tcW w:w="1548" w:type="dxa"/>
            <w:vMerge w:val="restart"/>
            <w:tcMar>
              <w:top w:w="0" w:type="dxa"/>
              <w:left w:w="108" w:type="dxa"/>
              <w:bottom w:w="0" w:type="dxa"/>
              <w:right w:w="108" w:type="dxa"/>
            </w:tcMar>
          </w:tcPr>
          <w:p w14:paraId="50A12A1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At-Risk Ecosystems</w:t>
            </w:r>
          </w:p>
          <w:p w14:paraId="51D89B15"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7DC24F9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EN4:  Acres of parks or public land treated</w:t>
            </w:r>
          </w:p>
        </w:tc>
        <w:tc>
          <w:tcPr>
            <w:tcW w:w="3150" w:type="dxa"/>
          </w:tcPr>
          <w:p w14:paraId="22744154"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EN4.1: Acres of parks or public land improved</w:t>
            </w:r>
          </w:p>
        </w:tc>
        <w:tc>
          <w:tcPr>
            <w:tcW w:w="2628" w:type="dxa"/>
            <w:tcMar>
              <w:top w:w="0" w:type="dxa"/>
              <w:left w:w="108" w:type="dxa"/>
              <w:bottom w:w="0" w:type="dxa"/>
              <w:right w:w="108" w:type="dxa"/>
            </w:tcMar>
          </w:tcPr>
          <w:p w14:paraId="60FAF58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Fire Mitigation</w:t>
            </w:r>
          </w:p>
          <w:p w14:paraId="16AA16D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Flood Mitigation</w:t>
            </w:r>
          </w:p>
          <w:p w14:paraId="163BAF1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Invasive Species Removal</w:t>
            </w:r>
          </w:p>
          <w:p w14:paraId="0AB8F5E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Debris Removal</w:t>
            </w:r>
          </w:p>
          <w:p w14:paraId="74BE4BA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Plant Establishment</w:t>
            </w:r>
            <w:r w:rsidRPr="004D40EA" w:rsidDel="00E963DE">
              <w:rPr>
                <w:rFonts w:ascii="Avenir Next LT Pro" w:hAnsi="Avenir Next LT Pro"/>
                <w:sz w:val="20"/>
                <w:szCs w:val="20"/>
              </w:rPr>
              <w:t xml:space="preserve"> </w:t>
            </w:r>
          </w:p>
          <w:p w14:paraId="43690A0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Climate Change Intervention</w:t>
            </w:r>
          </w:p>
        </w:tc>
      </w:tr>
      <w:tr w:rsidR="0041126D" w:rsidRPr="004D40EA" w14:paraId="5A6C7ED2" w14:textId="77777777">
        <w:tc>
          <w:tcPr>
            <w:tcW w:w="1548" w:type="dxa"/>
            <w:vMerge/>
            <w:tcMar>
              <w:top w:w="0" w:type="dxa"/>
              <w:left w:w="108" w:type="dxa"/>
              <w:bottom w:w="0" w:type="dxa"/>
              <w:right w:w="108" w:type="dxa"/>
            </w:tcMar>
          </w:tcPr>
          <w:p w14:paraId="4AAE8D53"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25707EF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EN5:  Miles of trails or rivers treated.</w:t>
            </w:r>
          </w:p>
        </w:tc>
        <w:tc>
          <w:tcPr>
            <w:tcW w:w="3150" w:type="dxa"/>
          </w:tcPr>
          <w:p w14:paraId="67C2E2ED"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EN5.1: Miles of trails or rivers improved</w:t>
            </w:r>
          </w:p>
        </w:tc>
        <w:tc>
          <w:tcPr>
            <w:tcW w:w="2628" w:type="dxa"/>
            <w:tcMar>
              <w:top w:w="0" w:type="dxa"/>
              <w:left w:w="108" w:type="dxa"/>
              <w:bottom w:w="0" w:type="dxa"/>
              <w:right w:w="108" w:type="dxa"/>
            </w:tcMar>
          </w:tcPr>
          <w:p w14:paraId="3A88963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Trail Creation</w:t>
            </w:r>
          </w:p>
          <w:p w14:paraId="24F74F9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Trail Remediation</w:t>
            </w:r>
          </w:p>
          <w:p w14:paraId="3EB6042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Stream Remediation</w:t>
            </w:r>
          </w:p>
          <w:p w14:paraId="67C9A53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Fire Mitigation</w:t>
            </w:r>
          </w:p>
          <w:p w14:paraId="3DD3AAB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Flood Mitigation</w:t>
            </w:r>
          </w:p>
          <w:p w14:paraId="7C48D46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Invasive Species Removal</w:t>
            </w:r>
          </w:p>
          <w:p w14:paraId="1108FD1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Debris Removal</w:t>
            </w:r>
          </w:p>
          <w:p w14:paraId="20E1F91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Plant Establishment</w:t>
            </w:r>
            <w:r w:rsidRPr="004D40EA" w:rsidDel="00E963DE">
              <w:rPr>
                <w:rFonts w:ascii="Avenir Next LT Pro" w:hAnsi="Avenir Next LT Pro"/>
                <w:sz w:val="20"/>
                <w:szCs w:val="20"/>
              </w:rPr>
              <w:t xml:space="preserve"> </w:t>
            </w:r>
          </w:p>
          <w:p w14:paraId="181E388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Climate Change Intervention</w:t>
            </w:r>
          </w:p>
        </w:tc>
      </w:tr>
      <w:tr w:rsidR="0041126D" w:rsidRPr="004D40EA" w14:paraId="747DD2B3" w14:textId="77777777">
        <w:tc>
          <w:tcPr>
            <w:tcW w:w="1548" w:type="dxa"/>
            <w:tcMar>
              <w:top w:w="0" w:type="dxa"/>
              <w:left w:w="108" w:type="dxa"/>
              <w:bottom w:w="0" w:type="dxa"/>
              <w:right w:w="108" w:type="dxa"/>
            </w:tcMar>
          </w:tcPr>
          <w:p w14:paraId="0F4A12F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Energy Efficiency</w:t>
            </w:r>
          </w:p>
        </w:tc>
        <w:tc>
          <w:tcPr>
            <w:tcW w:w="2250" w:type="dxa"/>
            <w:tcMar>
              <w:top w:w="0" w:type="dxa"/>
              <w:left w:w="108" w:type="dxa"/>
              <w:bottom w:w="0" w:type="dxa"/>
              <w:right w:w="108" w:type="dxa"/>
            </w:tcMar>
          </w:tcPr>
          <w:p w14:paraId="27C6249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EN1:  Number of housing units or public structures weatherized or retrofitted to improve energy efficiency</w:t>
            </w:r>
          </w:p>
        </w:tc>
        <w:tc>
          <w:tcPr>
            <w:tcW w:w="3150" w:type="dxa"/>
          </w:tcPr>
          <w:p w14:paraId="77765153"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EN1.1: Number of housing units or public structures with reduced energy consumption or reduced energy costs</w:t>
            </w:r>
          </w:p>
        </w:tc>
        <w:tc>
          <w:tcPr>
            <w:tcW w:w="2628" w:type="dxa"/>
            <w:tcMar>
              <w:top w:w="0" w:type="dxa"/>
              <w:left w:w="108" w:type="dxa"/>
              <w:bottom w:w="0" w:type="dxa"/>
              <w:right w:w="108" w:type="dxa"/>
            </w:tcMar>
          </w:tcPr>
          <w:p w14:paraId="111ADE4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Weatherization</w:t>
            </w:r>
          </w:p>
          <w:p w14:paraId="4ECD3C4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Retrofitting</w:t>
            </w:r>
            <w:r w:rsidRPr="004D40EA" w:rsidDel="00E963DE">
              <w:rPr>
                <w:rFonts w:ascii="Avenir Next LT Pro" w:hAnsi="Avenir Next LT Pro"/>
                <w:sz w:val="20"/>
                <w:szCs w:val="20"/>
              </w:rPr>
              <w:t xml:space="preserve"> </w:t>
            </w:r>
          </w:p>
          <w:p w14:paraId="328D5EE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Climate Change Intervention</w:t>
            </w:r>
          </w:p>
        </w:tc>
      </w:tr>
      <w:tr w:rsidR="0041126D" w:rsidRPr="004D40EA" w14:paraId="6FABFC0A" w14:textId="77777777">
        <w:tc>
          <w:tcPr>
            <w:tcW w:w="1548" w:type="dxa"/>
            <w:tcMar>
              <w:top w:w="0" w:type="dxa"/>
              <w:left w:w="108" w:type="dxa"/>
              <w:bottom w:w="0" w:type="dxa"/>
              <w:right w:w="108" w:type="dxa"/>
            </w:tcMar>
          </w:tcPr>
          <w:p w14:paraId="1A090BA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Awareness &amp; Stewardship</w:t>
            </w:r>
          </w:p>
        </w:tc>
        <w:tc>
          <w:tcPr>
            <w:tcW w:w="2250" w:type="dxa"/>
            <w:tcMar>
              <w:top w:w="0" w:type="dxa"/>
              <w:left w:w="108" w:type="dxa"/>
              <w:bottom w:w="0" w:type="dxa"/>
              <w:right w:w="108" w:type="dxa"/>
            </w:tcMar>
          </w:tcPr>
          <w:p w14:paraId="680FB07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EN3: Number of individuals receiving education or training in environmental stewardship and/or </w:t>
            </w:r>
            <w:proofErr w:type="gramStart"/>
            <w:r w:rsidRPr="004D40EA">
              <w:rPr>
                <w:rFonts w:ascii="Avenir Next LT Pro" w:hAnsi="Avenir Next LT Pro"/>
                <w:sz w:val="20"/>
                <w:szCs w:val="20"/>
              </w:rPr>
              <w:t>environmentally-conscious</w:t>
            </w:r>
            <w:proofErr w:type="gramEnd"/>
            <w:r w:rsidRPr="004D40EA">
              <w:rPr>
                <w:rFonts w:ascii="Avenir Next LT Pro" w:hAnsi="Avenir Next LT Pro"/>
                <w:sz w:val="20"/>
                <w:szCs w:val="20"/>
              </w:rPr>
              <w:t xml:space="preserve"> practices</w:t>
            </w:r>
            <w:r w:rsidRPr="004D40EA" w:rsidDel="00E963DE">
              <w:rPr>
                <w:rFonts w:ascii="Avenir Next LT Pro" w:hAnsi="Avenir Next LT Pro"/>
                <w:sz w:val="20"/>
                <w:szCs w:val="20"/>
              </w:rPr>
              <w:t xml:space="preserve"> </w:t>
            </w:r>
          </w:p>
        </w:tc>
        <w:tc>
          <w:tcPr>
            <w:tcW w:w="3150" w:type="dxa"/>
          </w:tcPr>
          <w:p w14:paraId="3CF2DAE5"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EN3.1: Number of individuals with increased knowledge of environmental stewardship and/or </w:t>
            </w:r>
            <w:proofErr w:type="gramStart"/>
            <w:r w:rsidRPr="004D40EA">
              <w:rPr>
                <w:rFonts w:ascii="Avenir Next LT Pro" w:hAnsi="Avenir Next LT Pro"/>
                <w:sz w:val="20"/>
                <w:szCs w:val="20"/>
              </w:rPr>
              <w:t>environmentally-conscious</w:t>
            </w:r>
            <w:proofErr w:type="gramEnd"/>
            <w:r w:rsidRPr="004D40EA">
              <w:rPr>
                <w:rFonts w:ascii="Avenir Next LT Pro" w:hAnsi="Avenir Next LT Pro"/>
                <w:sz w:val="20"/>
                <w:szCs w:val="20"/>
              </w:rPr>
              <w:t xml:space="preserve"> practices</w:t>
            </w:r>
          </w:p>
          <w:p w14:paraId="4BC4461A" w14:textId="77777777" w:rsidR="0041126D" w:rsidRPr="004D40EA" w:rsidRDefault="0041126D">
            <w:pPr>
              <w:spacing w:after="0" w:line="240" w:lineRule="auto"/>
              <w:ind w:left="90"/>
              <w:contextualSpacing/>
              <w:rPr>
                <w:rFonts w:ascii="Avenir Next LT Pro" w:hAnsi="Avenir Next LT Pro"/>
                <w:sz w:val="20"/>
                <w:szCs w:val="20"/>
              </w:rPr>
            </w:pPr>
          </w:p>
          <w:p w14:paraId="43C23527"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EN3.2: Number of individuals reporting a change in behavior or intention to change behavior to better protect the environment</w:t>
            </w:r>
          </w:p>
        </w:tc>
        <w:tc>
          <w:tcPr>
            <w:tcW w:w="2628" w:type="dxa"/>
            <w:tcMar>
              <w:top w:w="0" w:type="dxa"/>
              <w:left w:w="108" w:type="dxa"/>
              <w:bottom w:w="0" w:type="dxa"/>
              <w:right w:w="108" w:type="dxa"/>
            </w:tcMar>
          </w:tcPr>
          <w:p w14:paraId="0C7DED9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Education/Training</w:t>
            </w:r>
          </w:p>
          <w:p w14:paraId="56116EB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r w:rsidRPr="004D40EA" w:rsidDel="00E963DE">
              <w:rPr>
                <w:rFonts w:ascii="Avenir Next LT Pro" w:hAnsi="Avenir Next LT Pro"/>
                <w:sz w:val="20"/>
                <w:szCs w:val="20"/>
              </w:rPr>
              <w:t xml:space="preserve"> </w:t>
            </w:r>
          </w:p>
          <w:p w14:paraId="75D10B5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Climate Change Intervention</w:t>
            </w:r>
          </w:p>
        </w:tc>
      </w:tr>
      <w:tr w:rsidR="0041126D" w:rsidRPr="004D40EA" w14:paraId="7127F783" w14:textId="77777777">
        <w:tc>
          <w:tcPr>
            <w:tcW w:w="1548" w:type="dxa"/>
            <w:tcMar>
              <w:top w:w="0" w:type="dxa"/>
              <w:left w:w="108" w:type="dxa"/>
              <w:bottom w:w="0" w:type="dxa"/>
              <w:right w:w="108" w:type="dxa"/>
            </w:tcMar>
          </w:tcPr>
          <w:p w14:paraId="33F0EEC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Green Jobs</w:t>
            </w:r>
          </w:p>
        </w:tc>
        <w:tc>
          <w:tcPr>
            <w:tcW w:w="2250" w:type="dxa"/>
            <w:tcMar>
              <w:top w:w="0" w:type="dxa"/>
              <w:left w:w="108" w:type="dxa"/>
              <w:bottom w:w="0" w:type="dxa"/>
              <w:right w:w="108" w:type="dxa"/>
            </w:tcMar>
          </w:tcPr>
          <w:p w14:paraId="3D0494A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N/A (outputs may be reported as Performance Data Elements on annual Progress Reports) </w:t>
            </w:r>
          </w:p>
        </w:tc>
        <w:tc>
          <w:tcPr>
            <w:tcW w:w="3150" w:type="dxa"/>
          </w:tcPr>
          <w:p w14:paraId="73C8383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N/A (outcomes may be reported as Performance Data Elements on annual Progress Reports)</w:t>
            </w:r>
          </w:p>
        </w:tc>
        <w:tc>
          <w:tcPr>
            <w:tcW w:w="2628" w:type="dxa"/>
            <w:tcMar>
              <w:top w:w="0" w:type="dxa"/>
              <w:left w:w="108" w:type="dxa"/>
              <w:bottom w:w="0" w:type="dxa"/>
              <w:right w:w="108" w:type="dxa"/>
            </w:tcMar>
          </w:tcPr>
          <w:p w14:paraId="632081F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N/A</w:t>
            </w:r>
          </w:p>
        </w:tc>
      </w:tr>
    </w:tbl>
    <w:p w14:paraId="254F61AA"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71628102" w14:textId="77777777" w:rsidR="0041126D" w:rsidRPr="004D40EA" w:rsidRDefault="0041126D" w:rsidP="0041126D">
      <w:pPr>
        <w:spacing w:after="0" w:line="240" w:lineRule="auto"/>
        <w:contextualSpacing/>
        <w:rPr>
          <w:rFonts w:ascii="Avenir Next LT Pro" w:hAnsi="Avenir Next LT Pro"/>
          <w:sz w:val="20"/>
          <w:szCs w:val="20"/>
        </w:rPr>
      </w:pPr>
    </w:p>
    <w:p w14:paraId="6AFC2A27" w14:textId="77777777" w:rsidR="0041126D" w:rsidRPr="004D40EA" w:rsidRDefault="0041126D" w:rsidP="0041126D">
      <w:pPr>
        <w:spacing w:after="0" w:line="240" w:lineRule="auto"/>
        <w:contextualSpacing/>
        <w:rPr>
          <w:rFonts w:ascii="Avenir Next LT Pro" w:hAnsi="Avenir Next LT Pro"/>
          <w:sz w:val="20"/>
          <w:szCs w:val="20"/>
        </w:rPr>
      </w:pPr>
    </w:p>
    <w:p w14:paraId="66EA00E5"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sz w:val="20"/>
          <w:szCs w:val="20"/>
        </w:rPr>
        <w:br w:type="page"/>
      </w:r>
      <w:r w:rsidRPr="004D40EA">
        <w:rPr>
          <w:rFonts w:ascii="Avenir Next LT Pro" w:hAnsi="Avenir Next LT Pro"/>
          <w:b/>
          <w:sz w:val="20"/>
          <w:szCs w:val="20"/>
        </w:rPr>
        <w:lastRenderedPageBreak/>
        <w:t>Healthy Futures</w:t>
      </w:r>
    </w:p>
    <w:p w14:paraId="3A312C3B" w14:textId="77777777" w:rsidR="0041126D" w:rsidRPr="004D40EA" w:rsidRDefault="0041126D" w:rsidP="0041126D">
      <w:pPr>
        <w:spacing w:after="0" w:line="240" w:lineRule="auto"/>
        <w:contextualSpacing/>
        <w:rPr>
          <w:rFonts w:ascii="Avenir Next LT Pro" w:hAnsi="Avenir Next LT Pro"/>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4"/>
        <w:gridCol w:w="2186"/>
        <w:gridCol w:w="3037"/>
        <w:gridCol w:w="2603"/>
      </w:tblGrid>
      <w:tr w:rsidR="0041126D" w:rsidRPr="004D40EA" w14:paraId="79D61E21" w14:textId="77777777" w:rsidTr="5779A35C">
        <w:tc>
          <w:tcPr>
            <w:tcW w:w="1548" w:type="dxa"/>
            <w:vMerge w:val="restart"/>
            <w:tcMar>
              <w:top w:w="0" w:type="dxa"/>
              <w:left w:w="108" w:type="dxa"/>
              <w:bottom w:w="0" w:type="dxa"/>
              <w:right w:w="108" w:type="dxa"/>
            </w:tcMar>
            <w:hideMark/>
          </w:tcPr>
          <w:p w14:paraId="0B7AA183"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00" w:type="dxa"/>
            <w:gridSpan w:val="2"/>
            <w:tcMar>
              <w:top w:w="0" w:type="dxa"/>
              <w:left w:w="108" w:type="dxa"/>
              <w:bottom w:w="0" w:type="dxa"/>
              <w:right w:w="108" w:type="dxa"/>
            </w:tcMar>
            <w:hideMark/>
          </w:tcPr>
          <w:p w14:paraId="7A92DC67"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628" w:type="dxa"/>
            <w:vMerge w:val="restart"/>
            <w:tcMar>
              <w:top w:w="0" w:type="dxa"/>
              <w:left w:w="108" w:type="dxa"/>
              <w:bottom w:w="0" w:type="dxa"/>
              <w:right w:w="108" w:type="dxa"/>
            </w:tcMar>
            <w:hideMark/>
          </w:tcPr>
          <w:p w14:paraId="6F1E5600"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78AF06C2" w14:textId="77777777" w:rsidTr="5779A35C">
        <w:trPr>
          <w:trHeight w:val="377"/>
        </w:trPr>
        <w:tc>
          <w:tcPr>
            <w:tcW w:w="1548" w:type="dxa"/>
            <w:vMerge/>
            <w:tcMar>
              <w:top w:w="0" w:type="dxa"/>
              <w:left w:w="108" w:type="dxa"/>
              <w:bottom w:w="0" w:type="dxa"/>
              <w:right w:w="108" w:type="dxa"/>
            </w:tcMar>
          </w:tcPr>
          <w:p w14:paraId="264ED9FE"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3A0D9E72"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150" w:type="dxa"/>
          </w:tcPr>
          <w:p w14:paraId="37844598"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xml:space="preserve">Outcomes (if </w:t>
            </w:r>
            <w:proofErr w:type="gramStart"/>
            <w:r w:rsidRPr="004D40EA">
              <w:rPr>
                <w:rFonts w:ascii="Avenir Next LT Pro" w:hAnsi="Avenir Next LT Pro"/>
                <w:b/>
                <w:sz w:val="20"/>
                <w:szCs w:val="20"/>
              </w:rPr>
              <w:t>applicable)*</w:t>
            </w:r>
            <w:proofErr w:type="gramEnd"/>
          </w:p>
        </w:tc>
        <w:tc>
          <w:tcPr>
            <w:tcW w:w="2628" w:type="dxa"/>
            <w:vMerge/>
            <w:tcMar>
              <w:top w:w="0" w:type="dxa"/>
              <w:left w:w="108" w:type="dxa"/>
              <w:bottom w:w="0" w:type="dxa"/>
              <w:right w:w="108" w:type="dxa"/>
            </w:tcMar>
          </w:tcPr>
          <w:p w14:paraId="686EAB50"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0825148D" w14:textId="77777777" w:rsidTr="5779A35C">
        <w:tc>
          <w:tcPr>
            <w:tcW w:w="1548" w:type="dxa"/>
            <w:tcMar>
              <w:top w:w="0" w:type="dxa"/>
              <w:left w:w="108" w:type="dxa"/>
              <w:bottom w:w="0" w:type="dxa"/>
              <w:right w:w="108" w:type="dxa"/>
            </w:tcMar>
          </w:tcPr>
          <w:p w14:paraId="6DA3337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Aging in Place</w:t>
            </w:r>
            <w:r w:rsidRPr="004D40EA" w:rsidDel="00036BCD">
              <w:rPr>
                <w:rFonts w:ascii="Avenir Next LT Pro" w:hAnsi="Avenir Next LT Pro"/>
                <w:sz w:val="20"/>
                <w:szCs w:val="20"/>
              </w:rPr>
              <w:t xml:space="preserve"> </w:t>
            </w:r>
          </w:p>
        </w:tc>
        <w:tc>
          <w:tcPr>
            <w:tcW w:w="2250" w:type="dxa"/>
            <w:tcMar>
              <w:top w:w="0" w:type="dxa"/>
              <w:left w:w="108" w:type="dxa"/>
              <w:bottom w:w="0" w:type="dxa"/>
              <w:right w:w="108" w:type="dxa"/>
            </w:tcMar>
          </w:tcPr>
          <w:p w14:paraId="28FB3BB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H4A:  Number of individuals served</w:t>
            </w:r>
          </w:p>
        </w:tc>
        <w:tc>
          <w:tcPr>
            <w:tcW w:w="3150" w:type="dxa"/>
          </w:tcPr>
          <w:p w14:paraId="492EDEAE"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H9A:  Number of individuals who report improved capacity for independent </w:t>
            </w:r>
            <w:proofErr w:type="gramStart"/>
            <w:r w:rsidRPr="004D40EA">
              <w:rPr>
                <w:rFonts w:ascii="Avenir Next LT Pro" w:hAnsi="Avenir Next LT Pro"/>
                <w:sz w:val="20"/>
                <w:szCs w:val="20"/>
              </w:rPr>
              <w:t>living</w:t>
            </w:r>
            <w:proofErr w:type="gramEnd"/>
          </w:p>
          <w:p w14:paraId="26219513" w14:textId="77777777" w:rsidR="0041126D" w:rsidRPr="004D40EA" w:rsidRDefault="0041126D">
            <w:pPr>
              <w:spacing w:after="0" w:line="240" w:lineRule="auto"/>
              <w:ind w:left="90"/>
              <w:contextualSpacing/>
              <w:rPr>
                <w:rFonts w:ascii="Avenir Next LT Pro" w:hAnsi="Avenir Next LT Pro"/>
                <w:sz w:val="20"/>
                <w:szCs w:val="20"/>
              </w:rPr>
            </w:pPr>
          </w:p>
          <w:p w14:paraId="7160C7E6"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H19:  Number of individuals with improved health</w:t>
            </w:r>
          </w:p>
        </w:tc>
        <w:tc>
          <w:tcPr>
            <w:tcW w:w="2628" w:type="dxa"/>
            <w:tcMar>
              <w:top w:w="0" w:type="dxa"/>
              <w:left w:w="108" w:type="dxa"/>
              <w:bottom w:w="0" w:type="dxa"/>
              <w:right w:w="108" w:type="dxa"/>
            </w:tcMar>
          </w:tcPr>
          <w:p w14:paraId="28E1C62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Companionship</w:t>
            </w:r>
          </w:p>
          <w:p w14:paraId="787AB85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Nutrition/Food Support</w:t>
            </w:r>
          </w:p>
          <w:p w14:paraId="16FE4E4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Legal Services</w:t>
            </w:r>
          </w:p>
          <w:p w14:paraId="350DB2A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Transportation</w:t>
            </w:r>
          </w:p>
          <w:p w14:paraId="698BF86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Medical Services</w:t>
            </w:r>
          </w:p>
          <w:p w14:paraId="39C6512E" w14:textId="77777777"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 xml:space="preserve">Opioid/Drug Intervention </w:t>
            </w:r>
          </w:p>
        </w:tc>
      </w:tr>
      <w:tr w:rsidR="0041126D" w:rsidRPr="004D40EA" w14:paraId="4CF94786" w14:textId="77777777" w:rsidTr="5779A35C">
        <w:tc>
          <w:tcPr>
            <w:tcW w:w="1548" w:type="dxa"/>
            <w:vMerge w:val="restart"/>
            <w:tcMar>
              <w:top w:w="0" w:type="dxa"/>
              <w:left w:w="108" w:type="dxa"/>
              <w:bottom w:w="0" w:type="dxa"/>
              <w:right w:w="108" w:type="dxa"/>
            </w:tcMar>
          </w:tcPr>
          <w:p w14:paraId="1192199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Obesity &amp; Food</w:t>
            </w:r>
            <w:r w:rsidRPr="004D40EA" w:rsidDel="00036BCD">
              <w:rPr>
                <w:rFonts w:ascii="Avenir Next LT Pro" w:hAnsi="Avenir Next LT Pro"/>
                <w:sz w:val="20"/>
                <w:szCs w:val="20"/>
              </w:rPr>
              <w:t xml:space="preserve"> </w:t>
            </w:r>
          </w:p>
        </w:tc>
        <w:tc>
          <w:tcPr>
            <w:tcW w:w="2250" w:type="dxa"/>
            <w:tcMar>
              <w:top w:w="0" w:type="dxa"/>
              <w:left w:w="108" w:type="dxa"/>
              <w:bottom w:w="0" w:type="dxa"/>
              <w:right w:w="108" w:type="dxa"/>
            </w:tcMar>
          </w:tcPr>
          <w:p w14:paraId="2CECDB2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H4A:  Number of individuals served </w:t>
            </w:r>
          </w:p>
        </w:tc>
        <w:tc>
          <w:tcPr>
            <w:tcW w:w="3150" w:type="dxa"/>
          </w:tcPr>
          <w:p w14:paraId="15A00F1C"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H12:  Number of individuals who report increased food </w:t>
            </w:r>
            <w:proofErr w:type="gramStart"/>
            <w:r w:rsidRPr="004D40EA">
              <w:rPr>
                <w:rFonts w:ascii="Avenir Next LT Pro" w:hAnsi="Avenir Next LT Pro"/>
                <w:sz w:val="20"/>
                <w:szCs w:val="20"/>
              </w:rPr>
              <w:t>security</w:t>
            </w:r>
            <w:proofErr w:type="gramEnd"/>
          </w:p>
          <w:p w14:paraId="38705188" w14:textId="77777777" w:rsidR="0041126D" w:rsidRPr="004D40EA" w:rsidRDefault="0041126D">
            <w:pPr>
              <w:spacing w:after="0" w:line="240" w:lineRule="auto"/>
              <w:ind w:left="90"/>
              <w:contextualSpacing/>
              <w:rPr>
                <w:rFonts w:ascii="Avenir Next LT Pro" w:hAnsi="Avenir Next LT Pro"/>
                <w:sz w:val="20"/>
                <w:szCs w:val="20"/>
              </w:rPr>
            </w:pPr>
          </w:p>
          <w:p w14:paraId="47F49643"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H17:  Number of individuals with increased health knowledge</w:t>
            </w:r>
          </w:p>
          <w:p w14:paraId="0D35699A" w14:textId="77777777" w:rsidR="0041126D" w:rsidRPr="004D40EA" w:rsidRDefault="0041126D">
            <w:pPr>
              <w:spacing w:after="0" w:line="240" w:lineRule="auto"/>
              <w:ind w:left="90"/>
              <w:contextualSpacing/>
              <w:rPr>
                <w:rFonts w:ascii="Avenir Next LT Pro" w:hAnsi="Avenir Next LT Pro"/>
                <w:sz w:val="20"/>
                <w:szCs w:val="20"/>
              </w:rPr>
            </w:pPr>
          </w:p>
          <w:p w14:paraId="5520E394"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H18:  Number of individuals reporting a change in behavior or intent to change behavior to improve their </w:t>
            </w:r>
            <w:proofErr w:type="gramStart"/>
            <w:r w:rsidRPr="004D40EA">
              <w:rPr>
                <w:rFonts w:ascii="Avenir Next LT Pro" w:hAnsi="Avenir Next LT Pro"/>
                <w:sz w:val="20"/>
                <w:szCs w:val="20"/>
              </w:rPr>
              <w:t>health</w:t>
            </w:r>
            <w:proofErr w:type="gramEnd"/>
          </w:p>
          <w:p w14:paraId="69C78C2A" w14:textId="77777777" w:rsidR="0041126D" w:rsidRPr="004D40EA" w:rsidRDefault="0041126D">
            <w:pPr>
              <w:spacing w:after="0" w:line="240" w:lineRule="auto"/>
              <w:ind w:left="90"/>
              <w:contextualSpacing/>
              <w:rPr>
                <w:rFonts w:ascii="Avenir Next LT Pro" w:hAnsi="Avenir Next LT Pro"/>
                <w:sz w:val="20"/>
                <w:szCs w:val="20"/>
              </w:rPr>
            </w:pPr>
          </w:p>
          <w:p w14:paraId="27591A93"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H19:  Number of individuals with improved health</w:t>
            </w:r>
          </w:p>
        </w:tc>
        <w:tc>
          <w:tcPr>
            <w:tcW w:w="2628" w:type="dxa"/>
            <w:tcMar>
              <w:top w:w="0" w:type="dxa"/>
              <w:left w:w="108" w:type="dxa"/>
              <w:bottom w:w="0" w:type="dxa"/>
              <w:right w:w="108" w:type="dxa"/>
            </w:tcMar>
          </w:tcPr>
          <w:p w14:paraId="205D41C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Outreach</w:t>
            </w:r>
          </w:p>
          <w:p w14:paraId="34B1815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Education/Training</w:t>
            </w:r>
          </w:p>
          <w:p w14:paraId="18BB4E0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Referrals</w:t>
            </w:r>
          </w:p>
          <w:p w14:paraId="64AD4C9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Medical Services</w:t>
            </w:r>
          </w:p>
          <w:p w14:paraId="675F315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Nutrition/Food Support</w:t>
            </w:r>
          </w:p>
          <w:p w14:paraId="49F4A83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Physical Activities</w:t>
            </w:r>
          </w:p>
          <w:p w14:paraId="49E5A55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Counseling/Coaching</w:t>
            </w:r>
          </w:p>
          <w:p w14:paraId="0A03C06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Opioid/Drug Intervention</w:t>
            </w:r>
            <w:r w:rsidRPr="004D40EA" w:rsidDel="00C517F3">
              <w:rPr>
                <w:rFonts w:ascii="Avenir Next LT Pro" w:hAnsi="Avenir Next LT Pro"/>
                <w:sz w:val="20"/>
                <w:szCs w:val="20"/>
              </w:rPr>
              <w:t xml:space="preserve"> </w:t>
            </w:r>
          </w:p>
        </w:tc>
      </w:tr>
      <w:tr w:rsidR="0041126D" w:rsidRPr="004D40EA" w14:paraId="7750500B" w14:textId="77777777" w:rsidTr="5779A35C">
        <w:tc>
          <w:tcPr>
            <w:tcW w:w="1548" w:type="dxa"/>
            <w:vMerge/>
            <w:tcMar>
              <w:top w:w="0" w:type="dxa"/>
              <w:left w:w="108" w:type="dxa"/>
              <w:bottom w:w="0" w:type="dxa"/>
              <w:right w:w="108" w:type="dxa"/>
            </w:tcMar>
          </w:tcPr>
          <w:p w14:paraId="1239AF2F" w14:textId="77777777" w:rsidR="0041126D" w:rsidRPr="004D40EA" w:rsidRDefault="0041126D">
            <w:pPr>
              <w:spacing w:after="0" w:line="240" w:lineRule="auto"/>
              <w:contextualSpacing/>
              <w:rPr>
                <w:rFonts w:ascii="Avenir Next LT Pro" w:hAnsi="Avenir Next LT Pro"/>
                <w:sz w:val="20"/>
                <w:szCs w:val="20"/>
              </w:rPr>
            </w:pPr>
          </w:p>
        </w:tc>
        <w:tc>
          <w:tcPr>
            <w:tcW w:w="2250" w:type="dxa"/>
            <w:tcMar>
              <w:top w:w="0" w:type="dxa"/>
              <w:left w:w="108" w:type="dxa"/>
              <w:bottom w:w="0" w:type="dxa"/>
              <w:right w:w="108" w:type="dxa"/>
            </w:tcMar>
          </w:tcPr>
          <w:p w14:paraId="4A0246D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H10A:  Number of pounds of food provided</w:t>
            </w:r>
          </w:p>
        </w:tc>
        <w:tc>
          <w:tcPr>
            <w:tcW w:w="3150" w:type="dxa"/>
          </w:tcPr>
          <w:p w14:paraId="54645263"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Applicant-determined</w:t>
            </w:r>
          </w:p>
        </w:tc>
        <w:tc>
          <w:tcPr>
            <w:tcW w:w="2628" w:type="dxa"/>
            <w:tcMar>
              <w:top w:w="0" w:type="dxa"/>
              <w:left w:w="108" w:type="dxa"/>
              <w:bottom w:w="0" w:type="dxa"/>
              <w:right w:w="108" w:type="dxa"/>
            </w:tcMar>
          </w:tcPr>
          <w:p w14:paraId="27B9873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Nutrition/Food Support</w:t>
            </w:r>
          </w:p>
          <w:p w14:paraId="13852E5D"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05763908" w14:textId="77777777" w:rsidTr="5779A35C">
        <w:tc>
          <w:tcPr>
            <w:tcW w:w="1548" w:type="dxa"/>
            <w:tcMar>
              <w:top w:w="0" w:type="dxa"/>
              <w:left w:w="108" w:type="dxa"/>
              <w:bottom w:w="0" w:type="dxa"/>
              <w:right w:w="108" w:type="dxa"/>
            </w:tcMar>
          </w:tcPr>
          <w:p w14:paraId="5F1BA0E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Access to Care</w:t>
            </w:r>
            <w:r w:rsidRPr="004D40EA" w:rsidDel="00036BCD">
              <w:rPr>
                <w:rFonts w:ascii="Avenir Next LT Pro" w:hAnsi="Avenir Next LT Pro"/>
                <w:sz w:val="20"/>
                <w:szCs w:val="20"/>
              </w:rPr>
              <w:t xml:space="preserve"> </w:t>
            </w:r>
          </w:p>
        </w:tc>
        <w:tc>
          <w:tcPr>
            <w:tcW w:w="2250" w:type="dxa"/>
            <w:tcMar>
              <w:top w:w="0" w:type="dxa"/>
              <w:left w:w="108" w:type="dxa"/>
              <w:bottom w:w="0" w:type="dxa"/>
              <w:right w:w="108" w:type="dxa"/>
            </w:tcMar>
          </w:tcPr>
          <w:p w14:paraId="41F9390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H4A:  Number of individuals served</w:t>
            </w:r>
          </w:p>
        </w:tc>
        <w:tc>
          <w:tcPr>
            <w:tcW w:w="3150" w:type="dxa"/>
          </w:tcPr>
          <w:p w14:paraId="110CA8D8"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H17:  Number of individuals with increased health knowledge</w:t>
            </w:r>
          </w:p>
          <w:p w14:paraId="2DB612E7" w14:textId="77777777" w:rsidR="0041126D" w:rsidRPr="004D40EA" w:rsidRDefault="0041126D">
            <w:pPr>
              <w:spacing w:after="0" w:line="240" w:lineRule="auto"/>
              <w:ind w:left="90"/>
              <w:contextualSpacing/>
              <w:rPr>
                <w:rFonts w:ascii="Avenir Next LT Pro" w:hAnsi="Avenir Next LT Pro"/>
                <w:sz w:val="20"/>
                <w:szCs w:val="20"/>
              </w:rPr>
            </w:pPr>
          </w:p>
          <w:p w14:paraId="3CFFF6BE"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H18:  Number of individuals reporting a change in behavior or intent to change behavior to improve their </w:t>
            </w:r>
            <w:proofErr w:type="gramStart"/>
            <w:r w:rsidRPr="004D40EA">
              <w:rPr>
                <w:rFonts w:ascii="Avenir Next LT Pro" w:hAnsi="Avenir Next LT Pro"/>
                <w:sz w:val="20"/>
                <w:szCs w:val="20"/>
              </w:rPr>
              <w:t>health</w:t>
            </w:r>
            <w:proofErr w:type="gramEnd"/>
          </w:p>
          <w:p w14:paraId="42A9B429" w14:textId="77777777" w:rsidR="0041126D" w:rsidRPr="004D40EA" w:rsidRDefault="0041126D">
            <w:pPr>
              <w:spacing w:after="0" w:line="240" w:lineRule="auto"/>
              <w:ind w:left="90"/>
              <w:contextualSpacing/>
              <w:rPr>
                <w:rFonts w:ascii="Avenir Next LT Pro" w:hAnsi="Avenir Next LT Pro"/>
                <w:sz w:val="20"/>
                <w:szCs w:val="20"/>
              </w:rPr>
            </w:pPr>
          </w:p>
          <w:p w14:paraId="03715A45"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H19:  Number of individuals with improved health</w:t>
            </w:r>
          </w:p>
          <w:p w14:paraId="2EA0C695" w14:textId="77777777" w:rsidR="0041126D" w:rsidRPr="004D40EA" w:rsidRDefault="0041126D">
            <w:pPr>
              <w:spacing w:after="0" w:line="240" w:lineRule="auto"/>
              <w:ind w:left="90"/>
              <w:contextualSpacing/>
              <w:rPr>
                <w:rFonts w:ascii="Avenir Next LT Pro" w:hAnsi="Avenir Next LT Pro"/>
                <w:sz w:val="20"/>
                <w:szCs w:val="20"/>
              </w:rPr>
            </w:pPr>
          </w:p>
          <w:p w14:paraId="68EF20D6"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H20:  Number of individuals with improved access to medical care</w:t>
            </w:r>
          </w:p>
        </w:tc>
        <w:tc>
          <w:tcPr>
            <w:tcW w:w="2628" w:type="dxa"/>
            <w:tcMar>
              <w:top w:w="0" w:type="dxa"/>
              <w:left w:w="108" w:type="dxa"/>
              <w:bottom w:w="0" w:type="dxa"/>
              <w:right w:w="108" w:type="dxa"/>
            </w:tcMar>
          </w:tcPr>
          <w:p w14:paraId="38CBA25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Outreach</w:t>
            </w:r>
          </w:p>
          <w:p w14:paraId="77207D7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Education/Training</w:t>
            </w:r>
          </w:p>
          <w:p w14:paraId="347AE4A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Referrals</w:t>
            </w:r>
          </w:p>
          <w:p w14:paraId="69A19B3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Medical Services</w:t>
            </w:r>
          </w:p>
          <w:p w14:paraId="77CCD66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Counseling/Coaching</w:t>
            </w:r>
          </w:p>
          <w:p w14:paraId="0849776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Opioid/Drug Intervention</w:t>
            </w:r>
          </w:p>
        </w:tc>
      </w:tr>
      <w:tr w:rsidR="0041126D" w:rsidRPr="004D40EA" w14:paraId="2B02780B" w14:textId="77777777" w:rsidTr="5779A35C">
        <w:tc>
          <w:tcPr>
            <w:tcW w:w="1548" w:type="dxa"/>
            <w:tcMar>
              <w:top w:w="0" w:type="dxa"/>
              <w:left w:w="108" w:type="dxa"/>
              <w:bottom w:w="0" w:type="dxa"/>
              <w:right w:w="108" w:type="dxa"/>
            </w:tcMar>
          </w:tcPr>
          <w:p w14:paraId="2376AB7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Healthy Futures</w:t>
            </w:r>
          </w:p>
        </w:tc>
        <w:tc>
          <w:tcPr>
            <w:tcW w:w="2250" w:type="dxa"/>
            <w:tcMar>
              <w:top w:w="0" w:type="dxa"/>
              <w:left w:w="108" w:type="dxa"/>
              <w:bottom w:w="0" w:type="dxa"/>
              <w:right w:w="108" w:type="dxa"/>
            </w:tcMar>
          </w:tcPr>
          <w:p w14:paraId="1A9DD47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H4A:  Number of individuals served</w:t>
            </w:r>
          </w:p>
        </w:tc>
        <w:tc>
          <w:tcPr>
            <w:tcW w:w="3150" w:type="dxa"/>
          </w:tcPr>
          <w:p w14:paraId="33ECD55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Applicant-determined</w:t>
            </w:r>
          </w:p>
        </w:tc>
        <w:tc>
          <w:tcPr>
            <w:tcW w:w="2628" w:type="dxa"/>
            <w:tcMar>
              <w:top w:w="0" w:type="dxa"/>
              <w:left w:w="108" w:type="dxa"/>
              <w:bottom w:w="0" w:type="dxa"/>
              <w:right w:w="108" w:type="dxa"/>
            </w:tcMar>
          </w:tcPr>
          <w:p w14:paraId="1FC0301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Applicant-determined</w:t>
            </w:r>
          </w:p>
        </w:tc>
      </w:tr>
    </w:tbl>
    <w:p w14:paraId="18C3F79E"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30FF3607"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br w:type="page"/>
      </w:r>
      <w:r w:rsidRPr="004D40EA">
        <w:rPr>
          <w:rFonts w:ascii="Avenir Next LT Pro" w:hAnsi="Avenir Next LT Pro"/>
          <w:b/>
          <w:sz w:val="20"/>
          <w:szCs w:val="20"/>
        </w:rPr>
        <w:lastRenderedPageBreak/>
        <w:t>Veterans and Military Families</w:t>
      </w:r>
    </w:p>
    <w:p w14:paraId="49C864E9" w14:textId="77777777" w:rsidR="0041126D" w:rsidRPr="004D40EA" w:rsidRDefault="0041126D" w:rsidP="0041126D">
      <w:pPr>
        <w:spacing w:after="0" w:line="240" w:lineRule="auto"/>
        <w:contextualSpacing/>
        <w:rPr>
          <w:rFonts w:ascii="Avenir Next LT Pro" w:hAnsi="Avenir Next LT Pro"/>
          <w:b/>
          <w:sz w:val="20"/>
          <w:szCs w:val="20"/>
        </w:rPr>
      </w:pP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32"/>
        <w:gridCol w:w="2281"/>
        <w:gridCol w:w="3163"/>
        <w:gridCol w:w="2711"/>
      </w:tblGrid>
      <w:tr w:rsidR="0041126D" w:rsidRPr="004D40EA" w14:paraId="17AA79BB" w14:textId="77777777" w:rsidTr="5779A35C">
        <w:trPr>
          <w:trHeight w:val="229"/>
        </w:trPr>
        <w:tc>
          <w:tcPr>
            <w:tcW w:w="1532" w:type="dxa"/>
            <w:vMerge w:val="restart"/>
            <w:tcMar>
              <w:top w:w="0" w:type="dxa"/>
              <w:left w:w="108" w:type="dxa"/>
              <w:bottom w:w="0" w:type="dxa"/>
              <w:right w:w="108" w:type="dxa"/>
            </w:tcMar>
            <w:hideMark/>
          </w:tcPr>
          <w:p w14:paraId="27D42B98"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Strategic Plan Objective</w:t>
            </w:r>
          </w:p>
        </w:tc>
        <w:tc>
          <w:tcPr>
            <w:tcW w:w="5444" w:type="dxa"/>
            <w:gridSpan w:val="2"/>
            <w:tcMar>
              <w:top w:w="0" w:type="dxa"/>
              <w:left w:w="108" w:type="dxa"/>
              <w:bottom w:w="0" w:type="dxa"/>
              <w:right w:w="108" w:type="dxa"/>
            </w:tcMar>
            <w:hideMark/>
          </w:tcPr>
          <w:p w14:paraId="11991DBE"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Selection Rules</w:t>
            </w:r>
          </w:p>
        </w:tc>
        <w:tc>
          <w:tcPr>
            <w:tcW w:w="2711" w:type="dxa"/>
            <w:vMerge w:val="restart"/>
            <w:tcMar>
              <w:top w:w="0" w:type="dxa"/>
              <w:left w:w="108" w:type="dxa"/>
              <w:bottom w:w="0" w:type="dxa"/>
              <w:right w:w="108" w:type="dxa"/>
            </w:tcMar>
            <w:hideMark/>
          </w:tcPr>
          <w:p w14:paraId="3A16CC5A" w14:textId="77777777" w:rsidR="0041126D" w:rsidRPr="004D40EA" w:rsidRDefault="0041126D">
            <w:pPr>
              <w:spacing w:after="0" w:line="240" w:lineRule="auto"/>
              <w:contextualSpacing/>
              <w:jc w:val="center"/>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3E2E2927" w14:textId="77777777" w:rsidTr="5779A35C">
        <w:trPr>
          <w:trHeight w:val="375"/>
        </w:trPr>
        <w:tc>
          <w:tcPr>
            <w:tcW w:w="1532" w:type="dxa"/>
            <w:vMerge/>
            <w:tcMar>
              <w:top w:w="0" w:type="dxa"/>
              <w:left w:w="108" w:type="dxa"/>
              <w:bottom w:w="0" w:type="dxa"/>
              <w:right w:w="108" w:type="dxa"/>
            </w:tcMar>
          </w:tcPr>
          <w:p w14:paraId="020CB708" w14:textId="77777777" w:rsidR="0041126D" w:rsidRPr="004D40EA" w:rsidRDefault="0041126D">
            <w:pPr>
              <w:spacing w:after="0" w:line="240" w:lineRule="auto"/>
              <w:contextualSpacing/>
              <w:rPr>
                <w:rFonts w:ascii="Avenir Next LT Pro" w:hAnsi="Avenir Next LT Pro"/>
                <w:sz w:val="20"/>
                <w:szCs w:val="20"/>
              </w:rPr>
            </w:pPr>
          </w:p>
        </w:tc>
        <w:tc>
          <w:tcPr>
            <w:tcW w:w="2281" w:type="dxa"/>
            <w:tcMar>
              <w:top w:w="0" w:type="dxa"/>
              <w:left w:w="108" w:type="dxa"/>
              <w:bottom w:w="0" w:type="dxa"/>
              <w:right w:w="108" w:type="dxa"/>
            </w:tcMar>
          </w:tcPr>
          <w:p w14:paraId="3CD654F2"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Outputs</w:t>
            </w:r>
          </w:p>
        </w:tc>
        <w:tc>
          <w:tcPr>
            <w:tcW w:w="3163" w:type="dxa"/>
          </w:tcPr>
          <w:p w14:paraId="058593BF"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xml:space="preserve">Outcomes (if </w:t>
            </w:r>
            <w:proofErr w:type="gramStart"/>
            <w:r w:rsidRPr="004D40EA">
              <w:rPr>
                <w:rFonts w:ascii="Avenir Next LT Pro" w:hAnsi="Avenir Next LT Pro"/>
                <w:b/>
                <w:sz w:val="20"/>
                <w:szCs w:val="20"/>
              </w:rPr>
              <w:t>applicable)*</w:t>
            </w:r>
            <w:proofErr w:type="gramEnd"/>
          </w:p>
        </w:tc>
        <w:tc>
          <w:tcPr>
            <w:tcW w:w="2711" w:type="dxa"/>
            <w:vMerge/>
            <w:tcMar>
              <w:top w:w="0" w:type="dxa"/>
              <w:left w:w="108" w:type="dxa"/>
              <w:bottom w:w="0" w:type="dxa"/>
              <w:right w:w="108" w:type="dxa"/>
            </w:tcMar>
          </w:tcPr>
          <w:p w14:paraId="7081C9F8" w14:textId="77777777" w:rsidR="0041126D" w:rsidRPr="004D40EA" w:rsidRDefault="0041126D">
            <w:pPr>
              <w:spacing w:after="0" w:line="240" w:lineRule="auto"/>
              <w:contextualSpacing/>
              <w:rPr>
                <w:rFonts w:ascii="Avenir Next LT Pro" w:hAnsi="Avenir Next LT Pro"/>
                <w:sz w:val="20"/>
                <w:szCs w:val="20"/>
              </w:rPr>
            </w:pPr>
          </w:p>
        </w:tc>
      </w:tr>
      <w:tr w:rsidR="0041126D" w:rsidRPr="004D40EA" w14:paraId="29449655" w14:textId="77777777" w:rsidTr="5779A35C">
        <w:trPr>
          <w:trHeight w:val="8484"/>
        </w:trPr>
        <w:tc>
          <w:tcPr>
            <w:tcW w:w="1532" w:type="dxa"/>
            <w:tcMar>
              <w:top w:w="0" w:type="dxa"/>
              <w:left w:w="108" w:type="dxa"/>
              <w:bottom w:w="0" w:type="dxa"/>
              <w:right w:w="108" w:type="dxa"/>
            </w:tcMar>
          </w:tcPr>
          <w:p w14:paraId="0BED92F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Veterans &amp; Families Served</w:t>
            </w:r>
          </w:p>
        </w:tc>
        <w:tc>
          <w:tcPr>
            <w:tcW w:w="2281" w:type="dxa"/>
            <w:tcMar>
              <w:top w:w="0" w:type="dxa"/>
              <w:left w:w="108" w:type="dxa"/>
              <w:bottom w:w="0" w:type="dxa"/>
              <w:right w:w="108" w:type="dxa"/>
            </w:tcMar>
          </w:tcPr>
          <w:p w14:paraId="342BC06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V1:  Number of veterans </w:t>
            </w:r>
            <w:proofErr w:type="gramStart"/>
            <w:r w:rsidRPr="004D40EA">
              <w:rPr>
                <w:rFonts w:ascii="Avenir Next LT Pro" w:hAnsi="Avenir Next LT Pro"/>
                <w:sz w:val="20"/>
                <w:szCs w:val="20"/>
              </w:rPr>
              <w:t>served</w:t>
            </w:r>
            <w:proofErr w:type="gramEnd"/>
            <w:r w:rsidRPr="004D40EA">
              <w:rPr>
                <w:rFonts w:ascii="Avenir Next LT Pro" w:hAnsi="Avenir Next LT Pro"/>
                <w:sz w:val="20"/>
                <w:szCs w:val="20"/>
              </w:rPr>
              <w:t xml:space="preserve"> </w:t>
            </w:r>
          </w:p>
          <w:p w14:paraId="0D80415A" w14:textId="77777777" w:rsidR="0041126D" w:rsidRPr="004D40EA" w:rsidRDefault="0041126D">
            <w:pPr>
              <w:spacing w:after="0" w:line="240" w:lineRule="auto"/>
              <w:contextualSpacing/>
              <w:rPr>
                <w:rFonts w:ascii="Avenir Next LT Pro" w:hAnsi="Avenir Next LT Pro"/>
                <w:sz w:val="20"/>
                <w:szCs w:val="20"/>
              </w:rPr>
            </w:pPr>
          </w:p>
          <w:p w14:paraId="0C57D3B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V7A:  Number of active military members and/or military family members </w:t>
            </w:r>
            <w:proofErr w:type="gramStart"/>
            <w:r w:rsidRPr="004D40EA">
              <w:rPr>
                <w:rFonts w:ascii="Avenir Next LT Pro" w:hAnsi="Avenir Next LT Pro"/>
                <w:sz w:val="20"/>
                <w:szCs w:val="20"/>
              </w:rPr>
              <w:t>served</w:t>
            </w:r>
            <w:proofErr w:type="gramEnd"/>
          </w:p>
          <w:p w14:paraId="2060F768" w14:textId="77777777" w:rsidR="0041126D" w:rsidRPr="004D40EA" w:rsidRDefault="0041126D">
            <w:pPr>
              <w:spacing w:after="0" w:line="240" w:lineRule="auto"/>
              <w:contextualSpacing/>
              <w:rPr>
                <w:rFonts w:ascii="Avenir Next LT Pro" w:hAnsi="Avenir Next LT Pro"/>
                <w:sz w:val="20"/>
                <w:szCs w:val="20"/>
              </w:rPr>
            </w:pPr>
          </w:p>
          <w:p w14:paraId="43001CE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V8:  Number of veteran family members served</w:t>
            </w:r>
          </w:p>
        </w:tc>
        <w:tc>
          <w:tcPr>
            <w:tcW w:w="3163" w:type="dxa"/>
          </w:tcPr>
          <w:p w14:paraId="7661DF19"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O9**:  Number of individuals with improved financial knowledge</w:t>
            </w:r>
          </w:p>
          <w:p w14:paraId="23B8B4B9" w14:textId="77777777" w:rsidR="0041126D" w:rsidRPr="004D40EA" w:rsidRDefault="0041126D">
            <w:pPr>
              <w:spacing w:after="0" w:line="240" w:lineRule="auto"/>
              <w:ind w:left="90"/>
              <w:contextualSpacing/>
              <w:rPr>
                <w:rFonts w:ascii="Avenir Next LT Pro" w:hAnsi="Avenir Next LT Pro"/>
                <w:sz w:val="20"/>
                <w:szCs w:val="20"/>
              </w:rPr>
            </w:pPr>
          </w:p>
          <w:p w14:paraId="7FF9F3BF"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O11**:  Number of individuals transitioned into safe/affordable </w:t>
            </w:r>
            <w:proofErr w:type="gramStart"/>
            <w:r w:rsidRPr="004D40EA">
              <w:rPr>
                <w:rFonts w:ascii="Avenir Next LT Pro" w:hAnsi="Avenir Next LT Pro"/>
                <w:sz w:val="20"/>
                <w:szCs w:val="20"/>
              </w:rPr>
              <w:t>housing</w:t>
            </w:r>
            <w:proofErr w:type="gramEnd"/>
          </w:p>
          <w:p w14:paraId="3308DEB9" w14:textId="77777777" w:rsidR="0041126D" w:rsidRPr="004D40EA" w:rsidRDefault="0041126D">
            <w:pPr>
              <w:spacing w:after="0" w:line="240" w:lineRule="auto"/>
              <w:ind w:left="90"/>
              <w:contextualSpacing/>
              <w:rPr>
                <w:rFonts w:ascii="Avenir Next LT Pro" w:hAnsi="Avenir Next LT Pro"/>
                <w:sz w:val="20"/>
                <w:szCs w:val="20"/>
              </w:rPr>
            </w:pPr>
          </w:p>
          <w:p w14:paraId="76552E41"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O10**:  Number of individuals who secure </w:t>
            </w:r>
            <w:proofErr w:type="gramStart"/>
            <w:r w:rsidRPr="004D40EA">
              <w:rPr>
                <w:rFonts w:ascii="Avenir Next LT Pro" w:hAnsi="Avenir Next LT Pro"/>
                <w:sz w:val="20"/>
                <w:szCs w:val="20"/>
              </w:rPr>
              <w:t>employment</w:t>
            </w:r>
            <w:proofErr w:type="gramEnd"/>
            <w:r w:rsidRPr="004D40EA">
              <w:rPr>
                <w:rFonts w:ascii="Avenir Next LT Pro" w:hAnsi="Avenir Next LT Pro"/>
                <w:sz w:val="20"/>
                <w:szCs w:val="20"/>
              </w:rPr>
              <w:t xml:space="preserve"> </w:t>
            </w:r>
          </w:p>
          <w:p w14:paraId="3CDC65A8" w14:textId="77777777" w:rsidR="0041126D" w:rsidRPr="004D40EA" w:rsidRDefault="0041126D">
            <w:pPr>
              <w:spacing w:after="0" w:line="240" w:lineRule="auto"/>
              <w:ind w:left="90"/>
              <w:contextualSpacing/>
              <w:rPr>
                <w:rFonts w:ascii="Avenir Next LT Pro" w:hAnsi="Avenir Next LT Pro"/>
                <w:sz w:val="20"/>
                <w:szCs w:val="20"/>
              </w:rPr>
            </w:pPr>
          </w:p>
          <w:p w14:paraId="6E34A33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O21**:  Number of individuals with improved job readiness</w:t>
            </w:r>
          </w:p>
          <w:p w14:paraId="74655B60" w14:textId="77777777" w:rsidR="0041126D" w:rsidRPr="004D40EA" w:rsidRDefault="0041126D">
            <w:pPr>
              <w:spacing w:after="0" w:line="240" w:lineRule="auto"/>
              <w:ind w:left="90"/>
              <w:contextualSpacing/>
              <w:rPr>
                <w:rFonts w:ascii="Avenir Next LT Pro" w:hAnsi="Avenir Next LT Pro"/>
                <w:sz w:val="20"/>
                <w:szCs w:val="20"/>
              </w:rPr>
            </w:pPr>
          </w:p>
          <w:p w14:paraId="6F6F644A"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ED11**:  Number of individuals earning a post-secondary degree or technical </w:t>
            </w:r>
            <w:proofErr w:type="gramStart"/>
            <w:r w:rsidRPr="004D40EA">
              <w:rPr>
                <w:rFonts w:ascii="Avenir Next LT Pro" w:hAnsi="Avenir Next LT Pro"/>
                <w:sz w:val="20"/>
                <w:szCs w:val="20"/>
              </w:rPr>
              <w:t>certification</w:t>
            </w:r>
            <w:proofErr w:type="gramEnd"/>
          </w:p>
          <w:p w14:paraId="1F6752D0" w14:textId="77777777" w:rsidR="0041126D" w:rsidRPr="004D40EA" w:rsidRDefault="0041126D">
            <w:pPr>
              <w:spacing w:after="0" w:line="240" w:lineRule="auto"/>
              <w:ind w:left="90"/>
              <w:contextualSpacing/>
              <w:rPr>
                <w:rFonts w:ascii="Avenir Next LT Pro" w:hAnsi="Avenir Next LT Pro"/>
                <w:sz w:val="20"/>
                <w:szCs w:val="20"/>
              </w:rPr>
            </w:pPr>
          </w:p>
          <w:p w14:paraId="59E0A6A4"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H9A**:  Number of individuals who report improved capacity for independent </w:t>
            </w:r>
            <w:proofErr w:type="gramStart"/>
            <w:r w:rsidRPr="004D40EA">
              <w:rPr>
                <w:rFonts w:ascii="Avenir Next LT Pro" w:hAnsi="Avenir Next LT Pro"/>
                <w:sz w:val="20"/>
                <w:szCs w:val="20"/>
              </w:rPr>
              <w:t>living</w:t>
            </w:r>
            <w:proofErr w:type="gramEnd"/>
          </w:p>
          <w:p w14:paraId="1A65BA72" w14:textId="77777777" w:rsidR="0041126D" w:rsidRPr="004D40EA" w:rsidRDefault="0041126D">
            <w:pPr>
              <w:spacing w:after="0" w:line="240" w:lineRule="auto"/>
              <w:ind w:left="90"/>
              <w:contextualSpacing/>
              <w:rPr>
                <w:rFonts w:ascii="Avenir Next LT Pro" w:hAnsi="Avenir Next LT Pro"/>
                <w:sz w:val="20"/>
                <w:szCs w:val="20"/>
              </w:rPr>
            </w:pPr>
          </w:p>
          <w:p w14:paraId="4BAE6B39"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H12**:  Number of individuals who report increased food </w:t>
            </w:r>
            <w:proofErr w:type="gramStart"/>
            <w:r w:rsidRPr="004D40EA">
              <w:rPr>
                <w:rFonts w:ascii="Avenir Next LT Pro" w:hAnsi="Avenir Next LT Pro"/>
                <w:sz w:val="20"/>
                <w:szCs w:val="20"/>
              </w:rPr>
              <w:t>security</w:t>
            </w:r>
            <w:proofErr w:type="gramEnd"/>
          </w:p>
          <w:p w14:paraId="7D54524E" w14:textId="77777777" w:rsidR="0041126D" w:rsidRPr="004D40EA" w:rsidRDefault="0041126D">
            <w:pPr>
              <w:spacing w:after="0" w:line="240" w:lineRule="auto"/>
              <w:ind w:left="90"/>
              <w:contextualSpacing/>
              <w:rPr>
                <w:rFonts w:ascii="Avenir Next LT Pro" w:hAnsi="Avenir Next LT Pro"/>
                <w:sz w:val="20"/>
                <w:szCs w:val="20"/>
              </w:rPr>
            </w:pPr>
          </w:p>
          <w:p w14:paraId="26E66A0E"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H17**:  Number of individuals with increased health knowledge</w:t>
            </w:r>
          </w:p>
          <w:p w14:paraId="707F6E54" w14:textId="77777777" w:rsidR="0041126D" w:rsidRPr="004D40EA" w:rsidRDefault="0041126D">
            <w:pPr>
              <w:spacing w:after="0" w:line="240" w:lineRule="auto"/>
              <w:ind w:left="90"/>
              <w:contextualSpacing/>
              <w:rPr>
                <w:rFonts w:ascii="Avenir Next LT Pro" w:hAnsi="Avenir Next LT Pro"/>
                <w:sz w:val="20"/>
                <w:szCs w:val="20"/>
              </w:rPr>
            </w:pPr>
          </w:p>
          <w:p w14:paraId="63B88526"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 xml:space="preserve">H18**:  Number of individuals reporting a change in behavior or intent to change behavior to improve their </w:t>
            </w:r>
            <w:proofErr w:type="gramStart"/>
            <w:r w:rsidRPr="004D40EA">
              <w:rPr>
                <w:rFonts w:ascii="Avenir Next LT Pro" w:hAnsi="Avenir Next LT Pro"/>
                <w:sz w:val="20"/>
                <w:szCs w:val="20"/>
              </w:rPr>
              <w:t>health</w:t>
            </w:r>
            <w:proofErr w:type="gramEnd"/>
          </w:p>
          <w:p w14:paraId="38D8EDBA" w14:textId="77777777" w:rsidR="0041126D" w:rsidRPr="004D40EA" w:rsidRDefault="0041126D">
            <w:pPr>
              <w:spacing w:after="0" w:line="240" w:lineRule="auto"/>
              <w:ind w:left="90"/>
              <w:contextualSpacing/>
              <w:rPr>
                <w:rFonts w:ascii="Avenir Next LT Pro" w:hAnsi="Avenir Next LT Pro"/>
                <w:sz w:val="20"/>
                <w:szCs w:val="20"/>
              </w:rPr>
            </w:pPr>
          </w:p>
          <w:p w14:paraId="7524DA2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H19**:  Number of individuals with improved health</w:t>
            </w:r>
          </w:p>
          <w:p w14:paraId="21D0EA7F" w14:textId="77777777" w:rsidR="0041126D" w:rsidRPr="004D40EA" w:rsidRDefault="0041126D">
            <w:pPr>
              <w:spacing w:after="0" w:line="240" w:lineRule="auto"/>
              <w:ind w:left="90"/>
              <w:contextualSpacing/>
              <w:rPr>
                <w:rFonts w:ascii="Avenir Next LT Pro" w:hAnsi="Avenir Next LT Pro"/>
                <w:sz w:val="20"/>
                <w:szCs w:val="20"/>
              </w:rPr>
            </w:pPr>
          </w:p>
          <w:p w14:paraId="66C0E120" w14:textId="77777777" w:rsidR="0041126D" w:rsidRPr="004D40EA" w:rsidRDefault="0041126D">
            <w:pPr>
              <w:spacing w:after="0" w:line="240" w:lineRule="auto"/>
              <w:ind w:left="90"/>
              <w:contextualSpacing/>
              <w:rPr>
                <w:rFonts w:ascii="Avenir Next LT Pro" w:hAnsi="Avenir Next LT Pro"/>
                <w:sz w:val="20"/>
                <w:szCs w:val="20"/>
              </w:rPr>
            </w:pPr>
            <w:r w:rsidRPr="004D40EA">
              <w:rPr>
                <w:rFonts w:ascii="Avenir Next LT Pro" w:hAnsi="Avenir Next LT Pro"/>
                <w:sz w:val="20"/>
                <w:szCs w:val="20"/>
              </w:rPr>
              <w:t>H20**:  Number of individuals with improved access to medical care</w:t>
            </w:r>
          </w:p>
        </w:tc>
        <w:tc>
          <w:tcPr>
            <w:tcW w:w="2711" w:type="dxa"/>
            <w:tcMar>
              <w:top w:w="0" w:type="dxa"/>
              <w:left w:w="108" w:type="dxa"/>
              <w:bottom w:w="0" w:type="dxa"/>
              <w:right w:w="108" w:type="dxa"/>
            </w:tcMar>
          </w:tcPr>
          <w:p w14:paraId="1089846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Financial Literacy Education</w:t>
            </w:r>
          </w:p>
          <w:p w14:paraId="06A9665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Development</w:t>
            </w:r>
          </w:p>
          <w:p w14:paraId="2BC717C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Unit Repair</w:t>
            </w:r>
          </w:p>
          <w:p w14:paraId="0FE80BC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Housing Placement/Assistance</w:t>
            </w:r>
          </w:p>
          <w:p w14:paraId="5418AD0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Job Training</w:t>
            </w:r>
          </w:p>
          <w:p w14:paraId="51B1E5C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Job Placement</w:t>
            </w:r>
          </w:p>
          <w:p w14:paraId="30C95BD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GED Education</w:t>
            </w:r>
          </w:p>
          <w:p w14:paraId="37D4F85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Adult Education</w:t>
            </w:r>
          </w:p>
          <w:p w14:paraId="0047BBA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Tutoring</w:t>
            </w:r>
          </w:p>
          <w:p w14:paraId="5AF7E42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p w14:paraId="72F8226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p w14:paraId="344DA6A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Service Learning</w:t>
            </w:r>
          </w:p>
          <w:p w14:paraId="21FF6D0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Summer Learning</w:t>
            </w:r>
          </w:p>
          <w:p w14:paraId="5F05570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Companionship</w:t>
            </w:r>
          </w:p>
          <w:p w14:paraId="6AE903C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Nutrition/Food Support</w:t>
            </w:r>
          </w:p>
          <w:p w14:paraId="0841FD4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Legal Services</w:t>
            </w:r>
          </w:p>
          <w:p w14:paraId="669D36B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Transportation </w:t>
            </w:r>
          </w:p>
          <w:p w14:paraId="3849331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Outreach</w:t>
            </w:r>
          </w:p>
          <w:p w14:paraId="6B39078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Referrals</w:t>
            </w:r>
          </w:p>
          <w:p w14:paraId="05E3165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Medical Services</w:t>
            </w:r>
          </w:p>
          <w:p w14:paraId="73DD064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Physical Activities</w:t>
            </w:r>
          </w:p>
          <w:p w14:paraId="0147E476"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Counseling/Coaching</w:t>
            </w:r>
          </w:p>
          <w:p w14:paraId="3E143BBD" w14:textId="77777777" w:rsidR="0041126D" w:rsidRPr="004D40EA" w:rsidRDefault="0041126D">
            <w:pPr>
              <w:spacing w:after="0" w:line="240" w:lineRule="auto"/>
              <w:contextualSpacing/>
              <w:rPr>
                <w:rFonts w:ascii="Avenir Next LT Pro" w:hAnsi="Avenir Next LT Pro"/>
                <w:sz w:val="20"/>
                <w:szCs w:val="20"/>
              </w:rPr>
            </w:pPr>
            <w:r w:rsidRPr="5779A35C">
              <w:rPr>
                <w:rFonts w:ascii="Avenir Next LT Pro" w:hAnsi="Avenir Next LT Pro"/>
                <w:sz w:val="20"/>
                <w:szCs w:val="20"/>
              </w:rPr>
              <w:t>Opioid/Drug Intervention</w:t>
            </w:r>
          </w:p>
        </w:tc>
      </w:tr>
      <w:tr w:rsidR="0041126D" w:rsidRPr="004D40EA" w14:paraId="17A2997F" w14:textId="77777777" w:rsidTr="5779A35C">
        <w:trPr>
          <w:trHeight w:val="687"/>
        </w:trPr>
        <w:tc>
          <w:tcPr>
            <w:tcW w:w="1532" w:type="dxa"/>
            <w:tcMar>
              <w:top w:w="0" w:type="dxa"/>
              <w:left w:w="108" w:type="dxa"/>
              <w:bottom w:w="0" w:type="dxa"/>
              <w:right w:w="108" w:type="dxa"/>
            </w:tcMar>
          </w:tcPr>
          <w:p w14:paraId="4748038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Access &amp; </w:t>
            </w:r>
            <w:proofErr w:type="gramStart"/>
            <w:r w:rsidRPr="004D40EA">
              <w:rPr>
                <w:rFonts w:ascii="Avenir Next LT Pro" w:hAnsi="Avenir Next LT Pro"/>
                <w:sz w:val="20"/>
                <w:szCs w:val="20"/>
              </w:rPr>
              <w:t>Attract</w:t>
            </w:r>
            <w:proofErr w:type="gramEnd"/>
            <w:r w:rsidRPr="004D40EA" w:rsidDel="00DD4C6D">
              <w:rPr>
                <w:rFonts w:ascii="Avenir Next LT Pro" w:hAnsi="Avenir Next LT Pro"/>
                <w:sz w:val="20"/>
                <w:szCs w:val="20"/>
              </w:rPr>
              <w:t xml:space="preserve"> </w:t>
            </w:r>
          </w:p>
        </w:tc>
        <w:tc>
          <w:tcPr>
            <w:tcW w:w="2281" w:type="dxa"/>
            <w:tcMar>
              <w:top w:w="0" w:type="dxa"/>
              <w:left w:w="108" w:type="dxa"/>
              <w:bottom w:w="0" w:type="dxa"/>
              <w:right w:w="108" w:type="dxa"/>
            </w:tcMar>
          </w:tcPr>
          <w:p w14:paraId="30BD662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N/A (outputs may be reported as Performance Data Elements on annual Progress Reports) </w:t>
            </w:r>
          </w:p>
        </w:tc>
        <w:tc>
          <w:tcPr>
            <w:tcW w:w="3163" w:type="dxa"/>
          </w:tcPr>
          <w:p w14:paraId="6D03F061" w14:textId="77777777" w:rsidR="0041126D" w:rsidRPr="004D40EA" w:rsidRDefault="0041126D">
            <w:pPr>
              <w:spacing w:after="0" w:line="240" w:lineRule="auto"/>
              <w:ind w:left="75"/>
              <w:contextualSpacing/>
              <w:rPr>
                <w:rFonts w:ascii="Avenir Next LT Pro" w:hAnsi="Avenir Next LT Pro"/>
                <w:sz w:val="20"/>
                <w:szCs w:val="20"/>
              </w:rPr>
            </w:pPr>
            <w:r w:rsidRPr="004D40EA">
              <w:rPr>
                <w:rFonts w:ascii="Avenir Next LT Pro" w:hAnsi="Avenir Next LT Pro"/>
                <w:sz w:val="20"/>
                <w:szCs w:val="20"/>
              </w:rPr>
              <w:t>N/A (outcomes may be reported as Performance Data Elements on annual Progress Reports)</w:t>
            </w:r>
          </w:p>
        </w:tc>
        <w:tc>
          <w:tcPr>
            <w:tcW w:w="2711" w:type="dxa"/>
            <w:tcMar>
              <w:top w:w="0" w:type="dxa"/>
              <w:left w:w="108" w:type="dxa"/>
              <w:bottom w:w="0" w:type="dxa"/>
              <w:right w:w="108" w:type="dxa"/>
            </w:tcMar>
          </w:tcPr>
          <w:p w14:paraId="4B29A4C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N/A</w:t>
            </w:r>
          </w:p>
        </w:tc>
      </w:tr>
    </w:tbl>
    <w:p w14:paraId="53E749A5"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*All National Performance Measure outputs may also be paired with an applicant-determined outcome instead or may be used without an associated outcome.</w:t>
      </w:r>
    </w:p>
    <w:p w14:paraId="6B0114BB" w14:textId="77777777" w:rsidR="0041126D" w:rsidRPr="004D40EA" w:rsidRDefault="0041126D" w:rsidP="0041126D">
      <w:pPr>
        <w:spacing w:after="0" w:line="240" w:lineRule="auto"/>
        <w:contextualSpacing/>
        <w:rPr>
          <w:rFonts w:ascii="Avenir Next LT Pro" w:hAnsi="Avenir Next LT Pro"/>
          <w:sz w:val="20"/>
          <w:szCs w:val="20"/>
        </w:rPr>
      </w:pPr>
    </w:p>
    <w:p w14:paraId="23854950"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lastRenderedPageBreak/>
        <w:t xml:space="preserve">**In the eGrants Performance Measure Module, these measures may appear with the letter “V” at the end when used in the Veterans and Military Families focus area.  However, the instructions for these measures are the same regardless of the focus area in which they are used. </w:t>
      </w:r>
    </w:p>
    <w:p w14:paraId="4B5A53CF" w14:textId="77777777" w:rsidR="0041126D" w:rsidRPr="004D40EA" w:rsidRDefault="0041126D" w:rsidP="0041126D">
      <w:pPr>
        <w:spacing w:after="0" w:line="240" w:lineRule="auto"/>
        <w:contextualSpacing/>
        <w:rPr>
          <w:rStyle w:val="Strong1"/>
          <w:rFonts w:ascii="Avenir Next LT Pro" w:hAnsi="Avenir Next LT Pro"/>
          <w:szCs w:val="20"/>
        </w:rPr>
      </w:pPr>
    </w:p>
    <w:p w14:paraId="634E0C8E" w14:textId="77777777" w:rsidR="0041126D" w:rsidRPr="004D40EA" w:rsidRDefault="0041126D" w:rsidP="0041126D">
      <w:pPr>
        <w:spacing w:after="0" w:line="240" w:lineRule="auto"/>
        <w:contextualSpacing/>
        <w:rPr>
          <w:rStyle w:val="Strong1"/>
          <w:rFonts w:ascii="Avenir Next LT Pro" w:hAnsi="Avenir Next LT Pro"/>
          <w:szCs w:val="20"/>
        </w:rPr>
      </w:pPr>
    </w:p>
    <w:p w14:paraId="4444940E" w14:textId="77777777" w:rsidR="0041126D" w:rsidRPr="004D40EA" w:rsidRDefault="0041126D" w:rsidP="0041126D">
      <w:pPr>
        <w:pStyle w:val="Style2"/>
        <w:rPr>
          <w:rFonts w:ascii="Avenir Next LT Pro" w:eastAsia="ヒラギノ角ゴ Pro W3" w:hAnsi="Avenir Next LT Pro"/>
        </w:rPr>
      </w:pPr>
      <w:r w:rsidRPr="004D40EA">
        <w:rPr>
          <w:rStyle w:val="Strong1"/>
          <w:rFonts w:ascii="Avenir Next LT Pro" w:hAnsi="Avenir Next LT Pro"/>
        </w:rPr>
        <w:br w:type="page"/>
      </w:r>
      <w:bookmarkStart w:id="7" w:name="_Toc518376070"/>
      <w:bookmarkStart w:id="8" w:name="_Toc518377550"/>
      <w:bookmarkStart w:id="9" w:name="_Toc371442621"/>
      <w:bookmarkStart w:id="10" w:name="_Toc371442729"/>
      <w:r w:rsidRPr="004D40EA">
        <w:rPr>
          <w:rStyle w:val="Strong1"/>
          <w:rFonts w:ascii="Avenir Next LT Pro" w:hAnsi="Avenir Next LT Pro"/>
        </w:rPr>
        <w:lastRenderedPageBreak/>
        <w:t>CAPACITY BUILDING</w:t>
      </w:r>
      <w:bookmarkEnd w:id="7"/>
      <w:bookmarkEnd w:id="8"/>
      <w:r w:rsidRPr="004D40EA">
        <w:rPr>
          <w:rStyle w:val="Strong1"/>
          <w:rFonts w:ascii="Avenir Next LT Pro" w:hAnsi="Avenir Next LT Pro"/>
        </w:rPr>
        <w:br/>
      </w:r>
    </w:p>
    <w:p w14:paraId="15F0A937" w14:textId="77777777" w:rsidR="0041126D" w:rsidRPr="004D40EA" w:rsidRDefault="0041126D" w:rsidP="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Focus Area Notes </w:t>
      </w:r>
    </w:p>
    <w:p w14:paraId="4C986B70"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Programs should only opt into the Capacity Building performance measures if the measures reflect significant program activities aligned with the applicant’s core theory of change.  </w:t>
      </w:r>
    </w:p>
    <w:p w14:paraId="0E5E73F8"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Activities associated with these measures must be carried out by National Service Participants or by volunteers directly recruited and/or supported by National Service Participants.</w:t>
      </w:r>
    </w:p>
    <w:p w14:paraId="5893A11F"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Activities associated with these measures must meet the definition of capacity building specified in the “key terms” definition under G3-3.4.</w:t>
      </w:r>
    </w:p>
    <w:p w14:paraId="32990CA9"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Programs are not permitted to create applicant-determined outputs in the Capacity Building focus area.</w:t>
      </w:r>
    </w:p>
    <w:p w14:paraId="3487868A"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556"/>
      </w:tblGrid>
      <w:tr w:rsidR="0041126D" w:rsidRPr="004D40EA" w14:paraId="35C28279" w14:textId="77777777">
        <w:trPr>
          <w:trHeight w:val="269"/>
        </w:trPr>
        <w:tc>
          <w:tcPr>
            <w:tcW w:w="1818" w:type="dxa"/>
            <w:shd w:val="clear" w:color="auto" w:fill="auto"/>
          </w:tcPr>
          <w:p w14:paraId="4E411920" w14:textId="77777777" w:rsidR="0041126D" w:rsidRPr="004D40EA" w:rsidRDefault="0041126D">
            <w:pPr>
              <w:spacing w:after="0" w:line="240" w:lineRule="auto"/>
              <w:contextualSpacing/>
              <w:rPr>
                <w:rFonts w:ascii="Avenir Next LT Pro" w:eastAsia="ヒラギノ角ゴ Pro W3" w:hAnsi="Avenir Next LT Pro"/>
                <w:color w:val="FF0000"/>
                <w:sz w:val="20"/>
                <w:szCs w:val="20"/>
              </w:rPr>
            </w:pPr>
            <w:r w:rsidRPr="004D40EA">
              <w:rPr>
                <w:rFonts w:ascii="Avenir Next LT Pro" w:eastAsia="ヒラギノ角ゴ Pro W3" w:hAnsi="Avenir Next LT Pro"/>
                <w:color w:val="000000"/>
                <w:sz w:val="20"/>
                <w:szCs w:val="20"/>
              </w:rPr>
              <w:br w:type="page"/>
            </w:r>
            <w:r w:rsidRPr="004D40EA">
              <w:rPr>
                <w:rFonts w:ascii="Avenir Next LT Pro" w:eastAsia="ヒラギノ角ゴ Pro W3" w:hAnsi="Avenir Next LT Pro"/>
                <w:b/>
                <w:color w:val="000000"/>
                <w:sz w:val="20"/>
                <w:szCs w:val="20"/>
              </w:rPr>
              <w:t>G3-3.4 (output)</w:t>
            </w:r>
          </w:p>
        </w:tc>
        <w:tc>
          <w:tcPr>
            <w:tcW w:w="7556" w:type="dxa"/>
            <w:shd w:val="clear" w:color="auto" w:fill="auto"/>
          </w:tcPr>
          <w:p w14:paraId="326DB4E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organizations that received capacity building services</w:t>
            </w:r>
          </w:p>
        </w:tc>
      </w:tr>
      <w:tr w:rsidR="0041126D" w:rsidRPr="004D40EA" w14:paraId="2833B91A" w14:textId="77777777">
        <w:trPr>
          <w:trHeight w:val="278"/>
        </w:trPr>
        <w:tc>
          <w:tcPr>
            <w:tcW w:w="1818" w:type="dxa"/>
            <w:shd w:val="clear" w:color="auto" w:fill="auto"/>
          </w:tcPr>
          <w:p w14:paraId="0214336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556" w:type="dxa"/>
            <w:shd w:val="clear" w:color="auto" w:fill="auto"/>
          </w:tcPr>
          <w:p w14:paraId="5C04A8E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Organization:  </w:t>
            </w:r>
            <w:r w:rsidRPr="004D40EA">
              <w:rPr>
                <w:rFonts w:ascii="Avenir Next LT Pro" w:eastAsia="ヒラギノ角ゴ Pro W3" w:hAnsi="Avenir Next LT Pro"/>
                <w:color w:val="000000"/>
                <w:sz w:val="20"/>
                <w:szCs w:val="20"/>
              </w:rPr>
              <w:t>nonprofit or state/local/tribal government entity</w:t>
            </w:r>
          </w:p>
          <w:p w14:paraId="39D1298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Capacity building services</w:t>
            </w:r>
            <w:r w:rsidRPr="004D40EA">
              <w:rPr>
                <w:rFonts w:ascii="Avenir Next LT Pro" w:eastAsia="ヒラギノ角ゴ Pro W3" w:hAnsi="Avenir Next LT Pro"/>
                <w:color w:val="000000"/>
                <w:sz w:val="20"/>
                <w:szCs w:val="20"/>
              </w:rPr>
              <w:t xml:space="preserve">:  a set of activities that expand the </w:t>
            </w:r>
            <w:r w:rsidRPr="004D40EA">
              <w:rPr>
                <w:rFonts w:ascii="Avenir Next LT Pro" w:eastAsia="ヒラギノ角ゴ Pro W3" w:hAnsi="Avenir Next LT Pro"/>
                <w:iCs/>
                <w:color w:val="000000"/>
                <w:sz w:val="20"/>
                <w:szCs w:val="20"/>
              </w:rPr>
              <w:t>scale, reach, efficiency, or effectiveness of programs and organizations. Capacity building activities may also</w:t>
            </w:r>
            <w:r w:rsidRPr="004D40EA">
              <w:rPr>
                <w:rFonts w:ascii="Avenir Next LT Pro" w:eastAsia="ヒラギノ角ゴ Pro W3" w:hAnsi="Avenir Next LT Pro"/>
                <w:color w:val="000000"/>
                <w:sz w:val="20"/>
                <w:szCs w:val="20"/>
              </w:rPr>
              <w:t xml:space="preserve"> </w:t>
            </w:r>
            <w:r w:rsidRPr="004D40EA">
              <w:rPr>
                <w:rFonts w:ascii="Avenir Next LT Pro" w:eastAsia="ヒラギノ角ゴ Pro W3" w:hAnsi="Avenir Next LT Pro"/>
                <w:iCs/>
                <w:color w:val="000000"/>
                <w:sz w:val="20"/>
                <w:szCs w:val="20"/>
              </w:rPr>
              <w:t xml:space="preserve">leverage resources </w:t>
            </w:r>
            <w:r w:rsidRPr="004D40EA">
              <w:rPr>
                <w:rFonts w:ascii="Avenir Next LT Pro" w:eastAsia="ヒラギノ角ゴ Pro W3" w:hAnsi="Avenir Next LT Pro"/>
                <w:color w:val="000000"/>
                <w:sz w:val="20"/>
                <w:szCs w:val="20"/>
              </w:rPr>
              <w:t xml:space="preserve">(e.g., funding, volunteers, in-kind support, or partnerships) </w:t>
            </w:r>
            <w:r w:rsidRPr="004D40EA">
              <w:rPr>
                <w:rFonts w:ascii="Avenir Next LT Pro" w:eastAsia="ヒラギノ角ゴ Pro W3" w:hAnsi="Avenir Next LT Pro"/>
                <w:iCs/>
                <w:color w:val="000000"/>
                <w:sz w:val="20"/>
                <w:szCs w:val="20"/>
              </w:rPr>
              <w:t>for</w:t>
            </w:r>
            <w:r w:rsidRPr="004D40EA">
              <w:rPr>
                <w:rFonts w:ascii="Avenir Next LT Pro" w:eastAsia="ヒラギノ角ゴ Pro W3" w:hAnsi="Avenir Next LT Pro"/>
                <w:color w:val="000000"/>
                <w:sz w:val="20"/>
                <w:szCs w:val="20"/>
              </w:rPr>
              <w:t xml:space="preserve"> programs and/or organizations. As a general rule, AmeriCorps considers capacity building activities to be </w:t>
            </w:r>
            <w:r w:rsidRPr="004D40EA">
              <w:rPr>
                <w:rFonts w:ascii="Avenir Next LT Pro" w:eastAsia="ヒラギノ角ゴ Pro W3" w:hAnsi="Avenir Next LT Pro"/>
                <w:i/>
                <w:color w:val="000000"/>
                <w:sz w:val="20"/>
                <w:szCs w:val="20"/>
              </w:rPr>
              <w:t>indirect services</w:t>
            </w:r>
            <w:r w:rsidRPr="004D40EA">
              <w:rPr>
                <w:rFonts w:ascii="Avenir Next LT Pro" w:eastAsia="ヒラギノ角ゴ Pro W3" w:hAnsi="Avenir Next LT Pro"/>
                <w:color w:val="000000"/>
                <w:sz w:val="20"/>
                <w:szCs w:val="20"/>
              </w:rPr>
              <w:t xml:space="preserve"> that enable organizations to provide more, better and sustained </w:t>
            </w:r>
            <w:r w:rsidRPr="004D40EA">
              <w:rPr>
                <w:rFonts w:ascii="Avenir Next LT Pro" w:eastAsia="ヒラギノ角ゴ Pro W3" w:hAnsi="Avenir Next LT Pro"/>
                <w:i/>
                <w:color w:val="000000"/>
                <w:sz w:val="20"/>
                <w:szCs w:val="20"/>
              </w:rPr>
              <w:t>direct services</w:t>
            </w:r>
            <w:r w:rsidRPr="004D40EA">
              <w:rPr>
                <w:rFonts w:ascii="Avenir Next LT Pro" w:eastAsia="ヒラギノ角ゴ Pro W3" w:hAnsi="Avenir Next LT Pro"/>
                <w:color w:val="000000"/>
                <w:sz w:val="20"/>
                <w:szCs w:val="20"/>
              </w:rPr>
              <w:t xml:space="preserve">.  Capacity building activities must (1) be intended to support or enhance the program delivery model, (2) respond to the organization’s goal of increasing, </w:t>
            </w:r>
            <w:proofErr w:type="gramStart"/>
            <w:r w:rsidRPr="004D40EA">
              <w:rPr>
                <w:rFonts w:ascii="Avenir Next LT Pro" w:eastAsia="ヒラギノ角ゴ Pro W3" w:hAnsi="Avenir Next LT Pro"/>
                <w:color w:val="000000"/>
                <w:sz w:val="20"/>
                <w:szCs w:val="20"/>
              </w:rPr>
              <w:t>expanding</w:t>
            </w:r>
            <w:proofErr w:type="gramEnd"/>
            <w:r w:rsidRPr="004D40EA">
              <w:rPr>
                <w:rFonts w:ascii="Avenir Next LT Pro" w:eastAsia="ヒラギノ角ゴ Pro W3" w:hAnsi="Avenir Next LT Pro"/>
                <w:color w:val="000000"/>
                <w:sz w:val="20"/>
                <w:szCs w:val="20"/>
              </w:rPr>
              <w:t xml:space="preserve"> or enhancing services in order to address pressing community needs, and (3) enable the organization to provide a sustained level of more or better direct services after the national service participant’s term of service has ended.</w:t>
            </w:r>
          </w:p>
        </w:tc>
      </w:tr>
      <w:tr w:rsidR="0041126D" w:rsidRPr="004D40EA" w14:paraId="651F33E1" w14:textId="77777777">
        <w:trPr>
          <w:trHeight w:val="444"/>
        </w:trPr>
        <w:tc>
          <w:tcPr>
            <w:tcW w:w="1818" w:type="dxa"/>
            <w:shd w:val="clear" w:color="auto" w:fill="auto"/>
          </w:tcPr>
          <w:p w14:paraId="6350DABB"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2FE4324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bCs/>
                <w:color w:val="000000"/>
                <w:sz w:val="20"/>
                <w:szCs w:val="20"/>
              </w:rPr>
              <w:t>Collect Data</w:t>
            </w:r>
          </w:p>
        </w:tc>
        <w:tc>
          <w:tcPr>
            <w:tcW w:w="7556" w:type="dxa"/>
            <w:shd w:val="clear" w:color="auto" w:fill="auto"/>
          </w:tcPr>
          <w:p w14:paraId="606A3279"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color w:val="000000"/>
                <w:sz w:val="20"/>
                <w:szCs w:val="20"/>
              </w:rPr>
              <w:t>Tracking mechanism that ensures an unduplicated count of organizations who have received services</w:t>
            </w:r>
          </w:p>
        </w:tc>
      </w:tr>
    </w:tbl>
    <w:p w14:paraId="79163C77"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651A997D" w14:textId="77777777" w:rsidR="0041126D" w:rsidRPr="004D40EA" w:rsidRDefault="0041126D" w:rsidP="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ab/>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556"/>
      </w:tblGrid>
      <w:tr w:rsidR="0041126D" w:rsidRPr="004D40EA" w14:paraId="70FB4F2A" w14:textId="77777777">
        <w:trPr>
          <w:trHeight w:val="548"/>
        </w:trPr>
        <w:tc>
          <w:tcPr>
            <w:tcW w:w="1818" w:type="dxa"/>
            <w:shd w:val="clear" w:color="auto" w:fill="auto"/>
          </w:tcPr>
          <w:p w14:paraId="487F3EC8" w14:textId="77777777" w:rsidR="0041126D" w:rsidRPr="004D40EA" w:rsidRDefault="0041126D">
            <w:pPr>
              <w:spacing w:after="0" w:line="240" w:lineRule="auto"/>
              <w:contextualSpacing/>
              <w:rPr>
                <w:rFonts w:ascii="Avenir Next LT Pro" w:eastAsia="ヒラギノ角ゴ Pro W3" w:hAnsi="Avenir Next LT Pro"/>
                <w:b/>
                <w:color w:val="FF0000"/>
                <w:sz w:val="20"/>
                <w:szCs w:val="20"/>
              </w:rPr>
            </w:pPr>
            <w:r w:rsidRPr="004D40EA">
              <w:rPr>
                <w:rFonts w:ascii="Avenir Next LT Pro" w:eastAsia="ヒラギノ角ゴ Pro W3" w:hAnsi="Avenir Next LT Pro"/>
                <w:b/>
                <w:color w:val="000000"/>
                <w:sz w:val="20"/>
                <w:szCs w:val="20"/>
              </w:rPr>
              <w:br w:type="page"/>
              <w:t>G3-3.10A (outcome)</w:t>
            </w:r>
          </w:p>
        </w:tc>
        <w:tc>
          <w:tcPr>
            <w:tcW w:w="7556" w:type="dxa"/>
            <w:shd w:val="clear" w:color="auto" w:fill="auto"/>
          </w:tcPr>
          <w:p w14:paraId="5498477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organizations that increased their effectiveness, efficiency, and/or program scale/reach</w:t>
            </w:r>
          </w:p>
        </w:tc>
      </w:tr>
      <w:tr w:rsidR="0041126D" w:rsidRPr="004D40EA" w14:paraId="52067D92" w14:textId="77777777">
        <w:trPr>
          <w:trHeight w:val="610"/>
        </w:trPr>
        <w:tc>
          <w:tcPr>
            <w:tcW w:w="1818" w:type="dxa"/>
            <w:shd w:val="clear" w:color="auto" w:fill="auto"/>
          </w:tcPr>
          <w:p w14:paraId="7418E668"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7A4C103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556" w:type="dxa"/>
            <w:shd w:val="clear" w:color="auto" w:fill="auto"/>
          </w:tcPr>
          <w:p w14:paraId="53166E6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Organizations: </w:t>
            </w:r>
            <w:r w:rsidRPr="004D40EA">
              <w:rPr>
                <w:rFonts w:ascii="Avenir Next LT Pro" w:eastAsia="ヒラギノ角ゴ Pro W3" w:hAnsi="Avenir Next LT Pro"/>
                <w:color w:val="000000"/>
                <w:sz w:val="20"/>
                <w:szCs w:val="20"/>
              </w:rPr>
              <w:t>those counted in G3-3.4</w:t>
            </w:r>
          </w:p>
          <w:p w14:paraId="1E97868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Effectiveness</w:t>
            </w:r>
            <w:r w:rsidRPr="004D40EA">
              <w:rPr>
                <w:rFonts w:ascii="Avenir Next LT Pro" w:eastAsia="ヒラギノ角ゴ Pro W3" w:hAnsi="Avenir Next LT Pro"/>
                <w:color w:val="000000"/>
                <w:sz w:val="20"/>
                <w:szCs w:val="20"/>
              </w:rPr>
              <w:t>: Improved ability of the organization to achieve outcomes resulting in better success rates or better quality of outcomes achieved</w:t>
            </w:r>
          </w:p>
          <w:p w14:paraId="361163C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Efficiency</w:t>
            </w:r>
            <w:r w:rsidRPr="004D40EA">
              <w:rPr>
                <w:rFonts w:ascii="Avenir Next LT Pro" w:eastAsia="ヒラギノ角ゴ Pro W3" w:hAnsi="Avenir Next LT Pro"/>
                <w:color w:val="000000"/>
                <w:sz w:val="20"/>
                <w:szCs w:val="20"/>
              </w:rPr>
              <w:t>:</w:t>
            </w:r>
            <w:r w:rsidRPr="004D40EA">
              <w:rPr>
                <w:rFonts w:ascii="Avenir Next LT Pro" w:eastAsia="ヒラギノ角ゴ Pro W3" w:hAnsi="Avenir Next LT Pro"/>
                <w:b/>
                <w:color w:val="000000"/>
                <w:sz w:val="20"/>
                <w:szCs w:val="20"/>
              </w:rPr>
              <w:t xml:space="preserve"> </w:t>
            </w:r>
            <w:r w:rsidRPr="004D40EA">
              <w:rPr>
                <w:rFonts w:ascii="Avenir Next LT Pro" w:eastAsia="ヒラギノ角ゴ Pro W3" w:hAnsi="Avenir Next LT Pro"/>
                <w:color w:val="000000"/>
                <w:sz w:val="20"/>
                <w:szCs w:val="20"/>
              </w:rPr>
              <w:t>Improved outcomes with the same level of resources; improved or consistent quality of services with fewer resources</w:t>
            </w:r>
          </w:p>
          <w:p w14:paraId="542CB41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Scale/Reach</w:t>
            </w:r>
            <w:r w:rsidRPr="004D40EA">
              <w:rPr>
                <w:rFonts w:ascii="Avenir Next LT Pro" w:eastAsia="ヒラギノ角ゴ Pro W3" w:hAnsi="Avenir Next LT Pro"/>
                <w:color w:val="000000"/>
                <w:sz w:val="20"/>
                <w:szCs w:val="20"/>
              </w:rPr>
              <w:t xml:space="preserve">: The scope of a program’s services. Increased scale/reach can be measured by the number of new people served, new populations served, and/ or new or expanded services. </w:t>
            </w:r>
          </w:p>
        </w:tc>
      </w:tr>
      <w:tr w:rsidR="0041126D" w:rsidRPr="004D40EA" w14:paraId="283F3BF0" w14:textId="77777777">
        <w:trPr>
          <w:trHeight w:val="701"/>
        </w:trPr>
        <w:tc>
          <w:tcPr>
            <w:tcW w:w="1818" w:type="dxa"/>
            <w:shd w:val="clear" w:color="auto" w:fill="auto"/>
          </w:tcPr>
          <w:p w14:paraId="5E0C3D5A"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169A947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bCs/>
                <w:color w:val="000000"/>
                <w:sz w:val="20"/>
                <w:szCs w:val="20"/>
              </w:rPr>
              <w:t>Collect Data</w:t>
            </w:r>
          </w:p>
        </w:tc>
        <w:tc>
          <w:tcPr>
            <w:tcW w:w="7556" w:type="dxa"/>
            <w:shd w:val="clear" w:color="auto" w:fill="auto"/>
          </w:tcPr>
          <w:p w14:paraId="433D785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Organizational assessment tool </w:t>
            </w:r>
            <w:r w:rsidRPr="004D40EA">
              <w:rPr>
                <w:rFonts w:ascii="Avenir Next LT Pro" w:eastAsia="ヒラギノ角ゴ Pro W3" w:hAnsi="Avenir Next LT Pro"/>
                <w:bCs/>
                <w:color w:val="000000"/>
                <w:sz w:val="20"/>
                <w:szCs w:val="20"/>
              </w:rPr>
              <w:t xml:space="preserve">or other instrument capable of measuring changes in effectiveness, efficiency, or scale/reach at the organization level.  When possible, pre-post assessments should be utilized. </w:t>
            </w:r>
          </w:p>
        </w:tc>
      </w:tr>
    </w:tbl>
    <w:p w14:paraId="1CEB29DA"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04B14480"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1F9D8DBC"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7A5337B7"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658D6030"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7BB00340"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2A79AB15"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18A50FC9" w14:textId="77777777" w:rsidR="0041126D" w:rsidRPr="004D40EA" w:rsidRDefault="0041126D" w:rsidP="0041126D">
      <w:pPr>
        <w:pStyle w:val="Style2"/>
        <w:rPr>
          <w:rStyle w:val="Strong1"/>
          <w:rFonts w:ascii="Avenir Next LT Pro" w:hAnsi="Avenir Next LT Pro"/>
        </w:rPr>
      </w:pPr>
      <w:bookmarkStart w:id="11" w:name="_Toc518377551"/>
      <w:r w:rsidRPr="004D40EA">
        <w:rPr>
          <w:rStyle w:val="Strong1"/>
          <w:rFonts w:ascii="Avenir Next LT Pro" w:hAnsi="Avenir Next LT Pro"/>
        </w:rPr>
        <w:lastRenderedPageBreak/>
        <w:t>DISASTER SERVICES</w:t>
      </w:r>
      <w:bookmarkEnd w:id="9"/>
      <w:bookmarkEnd w:id="10"/>
      <w:bookmarkEnd w:id="11"/>
    </w:p>
    <w:p w14:paraId="0F5B4C9E" w14:textId="77777777" w:rsidR="0041126D" w:rsidRPr="004D40EA" w:rsidRDefault="0041126D" w:rsidP="0041126D">
      <w:pPr>
        <w:spacing w:after="0" w:line="240" w:lineRule="auto"/>
        <w:contextualSpacing/>
        <w:rPr>
          <w:rStyle w:val="Strong1"/>
          <w:rFonts w:ascii="Avenir Next LT Pro" w:hAnsi="Avenir Next LT Pro"/>
          <w:szCs w:val="20"/>
        </w:rPr>
      </w:pPr>
    </w:p>
    <w:p w14:paraId="3C96FE86"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Focus Area Notes </w:t>
      </w:r>
    </w:p>
    <w:p w14:paraId="07AF2C35"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Disaster Services performance measures if the measures reflect significant program activities aligned with the applicant’s core theory of change.  </w:t>
      </w:r>
    </w:p>
    <w:p w14:paraId="663F9257"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b/>
          <w:color w:val="000000"/>
          <w:sz w:val="20"/>
          <w:szCs w:val="20"/>
        </w:rPr>
      </w:pPr>
      <w:r w:rsidRPr="004D40EA">
        <w:rPr>
          <w:rFonts w:ascii="Avenir Next LT Pro" w:hAnsi="Avenir Next LT Pro"/>
          <w:sz w:val="20"/>
          <w:szCs w:val="20"/>
        </w:rPr>
        <w:t>Any other grantees who provide disaster-related services during the program year should report on this activity in the Performance Data Elements in annual Progress Reports and provide a brief description of those services.</w:t>
      </w:r>
    </w:p>
    <w:p w14:paraId="2FDE1070" w14:textId="77777777" w:rsidR="0041126D" w:rsidRPr="004D40EA" w:rsidRDefault="0041126D" w:rsidP="0041126D">
      <w:pPr>
        <w:numPr>
          <w:ilvl w:val="0"/>
          <w:numId w:val="1"/>
        </w:numPr>
        <w:spacing w:after="0" w:line="240" w:lineRule="auto"/>
        <w:contextualSpacing/>
        <w:rPr>
          <w:rStyle w:val="Strong1"/>
          <w:rFonts w:ascii="Avenir Next LT Pro" w:hAnsi="Avenir Next LT Pro"/>
          <w:b w:val="0"/>
          <w:szCs w:val="20"/>
        </w:rPr>
      </w:pPr>
      <w:r w:rsidRPr="004D40EA">
        <w:rPr>
          <w:rStyle w:val="Strong1"/>
          <w:rFonts w:ascii="Avenir Next LT Pro" w:hAnsi="Avenir Next LT Pro"/>
          <w:b w:val="0"/>
          <w:szCs w:val="20"/>
        </w:rPr>
        <w:t xml:space="preserve">To ensure unduplicated counts, beneficiaries reported under National Performance Measures in the Disaster Services focus area should not also be reported in disaster-related </w:t>
      </w:r>
      <w:r w:rsidRPr="004D40EA">
        <w:rPr>
          <w:rFonts w:ascii="Avenir Next LT Pro" w:hAnsi="Avenir Next LT Pro"/>
          <w:sz w:val="20"/>
          <w:szCs w:val="20"/>
        </w:rPr>
        <w:t>Performance Data Elements in annual Progress Reports</w:t>
      </w:r>
      <w:r w:rsidRPr="004D40EA">
        <w:rPr>
          <w:rStyle w:val="Strong1"/>
          <w:rFonts w:ascii="Avenir Next LT Pro" w:hAnsi="Avenir Next LT Pro"/>
          <w:b w:val="0"/>
          <w:szCs w:val="20"/>
        </w:rPr>
        <w:t>.</w:t>
      </w:r>
    </w:p>
    <w:p w14:paraId="752963B0" w14:textId="77777777" w:rsidR="0041126D" w:rsidRPr="004D40EA" w:rsidRDefault="0041126D" w:rsidP="0041126D">
      <w:pPr>
        <w:numPr>
          <w:ilvl w:val="0"/>
          <w:numId w:val="1"/>
        </w:numPr>
        <w:spacing w:after="0" w:line="240" w:lineRule="auto"/>
        <w:contextualSpacing/>
        <w:rPr>
          <w:rStyle w:val="Strong1"/>
          <w:rFonts w:ascii="Avenir Next LT Pro" w:hAnsi="Avenir Next LT Pro"/>
          <w:b w:val="0"/>
          <w:szCs w:val="20"/>
        </w:rPr>
      </w:pPr>
      <w:r w:rsidRPr="004D40EA">
        <w:rPr>
          <w:rStyle w:val="Strong1"/>
          <w:rFonts w:ascii="Avenir Next LT Pro" w:hAnsi="Avenir Next LT Pro"/>
          <w:b w:val="0"/>
          <w:szCs w:val="20"/>
        </w:rPr>
        <w:t>Activities associated with these measures must be carried out by National Service Participants or by volunteers directly recruited and/or supported by National Service Participants.</w:t>
      </w:r>
    </w:p>
    <w:p w14:paraId="4FE25052" w14:textId="77777777" w:rsidR="0041126D" w:rsidRPr="004D40EA" w:rsidRDefault="0041126D" w:rsidP="0041126D">
      <w:pPr>
        <w:numPr>
          <w:ilvl w:val="0"/>
          <w:numId w:val="1"/>
        </w:numPr>
        <w:spacing w:after="0" w:line="240" w:lineRule="auto"/>
        <w:contextualSpacing/>
        <w:rPr>
          <w:rStyle w:val="Strong1"/>
          <w:rFonts w:ascii="Avenir Next LT Pro" w:hAnsi="Avenir Next LT Pro"/>
          <w:b w:val="0"/>
          <w:szCs w:val="20"/>
        </w:rPr>
      </w:pPr>
      <w:r w:rsidRPr="004D40EA">
        <w:rPr>
          <w:rFonts w:ascii="Avenir Next LT Pro" w:eastAsia="ヒラギノ角ゴ Pro W3" w:hAnsi="Avenir Next LT Pro"/>
          <w:color w:val="000000"/>
          <w:sz w:val="20"/>
          <w:szCs w:val="20"/>
        </w:rPr>
        <w:t xml:space="preserve">All individuals counted under these measures must be program beneficiaries, not National Service Participants.  National Service Participant outputs and outcomes should be reported in the </w:t>
      </w:r>
      <w:r w:rsidRPr="004D40EA">
        <w:rPr>
          <w:rFonts w:ascii="Avenir Next LT Pro" w:hAnsi="Avenir Next LT Pro"/>
          <w:sz w:val="20"/>
          <w:szCs w:val="20"/>
        </w:rPr>
        <w:t>Performance Data Elements in annual Progress Reports</w:t>
      </w:r>
      <w:r w:rsidRPr="004D40EA">
        <w:rPr>
          <w:rFonts w:ascii="Avenir Next LT Pro" w:eastAsia="ヒラギノ角ゴ Pro W3" w:hAnsi="Avenir Next LT Pro"/>
          <w:color w:val="000000"/>
          <w:sz w:val="20"/>
          <w:szCs w:val="20"/>
        </w:rPr>
        <w:t>.</w:t>
      </w:r>
      <w:r w:rsidRPr="004D40EA">
        <w:rPr>
          <w:rStyle w:val="Strong1"/>
          <w:rFonts w:ascii="Avenir Next LT Pro" w:hAnsi="Avenir Next LT Pro"/>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10388CDB" w14:textId="77777777">
        <w:trPr>
          <w:trHeight w:val="377"/>
        </w:trPr>
        <w:tc>
          <w:tcPr>
            <w:tcW w:w="1728" w:type="dxa"/>
            <w:shd w:val="clear" w:color="auto" w:fill="auto"/>
          </w:tcPr>
          <w:bookmarkEnd w:id="0"/>
          <w:bookmarkEnd w:id="2"/>
          <w:p w14:paraId="38303D8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hAnsi="Avenir Next LT Pro"/>
                <w:b/>
                <w:sz w:val="20"/>
                <w:szCs w:val="20"/>
              </w:rPr>
              <w:t>D1A (output)</w:t>
            </w:r>
          </w:p>
        </w:tc>
        <w:tc>
          <w:tcPr>
            <w:tcW w:w="7646" w:type="dxa"/>
            <w:shd w:val="clear" w:color="auto" w:fill="auto"/>
          </w:tcPr>
          <w:p w14:paraId="2DB4E81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sz w:val="20"/>
                <w:szCs w:val="20"/>
              </w:rPr>
              <w:t>Number of individuals served</w:t>
            </w:r>
          </w:p>
        </w:tc>
      </w:tr>
      <w:tr w:rsidR="0041126D" w:rsidRPr="004D40EA" w14:paraId="67D2F75B" w14:textId="77777777">
        <w:trPr>
          <w:trHeight w:val="651"/>
        </w:trPr>
        <w:tc>
          <w:tcPr>
            <w:tcW w:w="1728" w:type="dxa"/>
            <w:shd w:val="clear" w:color="auto" w:fill="auto"/>
          </w:tcPr>
          <w:p w14:paraId="6480608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46" w:type="dxa"/>
            <w:shd w:val="clear" w:color="auto" w:fill="auto"/>
          </w:tcPr>
          <w:p w14:paraId="2C0348D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recipients of AmeriCorps-supported services related to disaster preparedness, response, recovery, and/or mitigation</w:t>
            </w:r>
          </w:p>
          <w:p w14:paraId="150E7CB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lang w:val="en"/>
              </w:rPr>
              <w:t>Served:</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disaster-related goal in mind.  Cannot consist solely of mass dissemination of information such as email blasts, social media posts, or distributing pamphlets.</w:t>
            </w:r>
          </w:p>
        </w:tc>
      </w:tr>
      <w:tr w:rsidR="0041126D" w:rsidRPr="004D40EA" w14:paraId="1E7C2FD6" w14:textId="77777777">
        <w:trPr>
          <w:trHeight w:val="611"/>
        </w:trPr>
        <w:tc>
          <w:tcPr>
            <w:tcW w:w="1728" w:type="dxa"/>
            <w:shd w:val="clear" w:color="auto" w:fill="auto"/>
          </w:tcPr>
          <w:p w14:paraId="2368427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71CA91F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shd w:val="clear" w:color="auto" w:fill="auto"/>
          </w:tcPr>
          <w:p w14:paraId="034F910C" w14:textId="77777777" w:rsidR="0041126D" w:rsidRPr="004D40EA" w:rsidRDefault="0041126D">
            <w:pPr>
              <w:autoSpaceDE w:val="0"/>
              <w:autoSpaceDN w:val="0"/>
              <w:adjustRightInd w:val="0"/>
              <w:spacing w:after="0" w:line="240" w:lineRule="auto"/>
              <w:contextualSpacing/>
              <w:rPr>
                <w:rFonts w:ascii="Avenir Next LT Pro" w:hAnsi="Avenir Next LT Pro"/>
                <w:sz w:val="20"/>
                <w:szCs w:val="20"/>
              </w:rPr>
            </w:pPr>
            <w:r w:rsidRPr="004D40EA">
              <w:rPr>
                <w:rFonts w:ascii="Avenir Next LT Pro" w:hAnsi="Avenir Next LT Pro"/>
                <w:sz w:val="20"/>
                <w:szCs w:val="20"/>
              </w:rPr>
              <w:t>Tracking mechanism that ensures an unduplicated count of individuals who have received services</w:t>
            </w:r>
          </w:p>
        </w:tc>
      </w:tr>
    </w:tbl>
    <w:p w14:paraId="1D43DA3F" w14:textId="77777777" w:rsidR="0041126D" w:rsidRPr="004D40EA" w:rsidRDefault="0041126D" w:rsidP="0041126D">
      <w:pPr>
        <w:spacing w:after="0" w:line="240" w:lineRule="auto"/>
        <w:contextualSpacing/>
        <w:rPr>
          <w:rFonts w:ascii="Avenir Next LT Pro" w:hAnsi="Avenir Next LT Pro"/>
          <w:sz w:val="20"/>
          <w:szCs w:val="20"/>
        </w:rPr>
      </w:pPr>
    </w:p>
    <w:p w14:paraId="4F186187"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5B3141C7" w14:textId="77777777">
        <w:trPr>
          <w:trHeight w:val="377"/>
        </w:trPr>
        <w:tc>
          <w:tcPr>
            <w:tcW w:w="1728" w:type="dxa"/>
            <w:shd w:val="clear" w:color="auto" w:fill="auto"/>
          </w:tcPr>
          <w:p w14:paraId="75624C2F"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hAnsi="Avenir Next LT Pro"/>
                <w:b/>
                <w:sz w:val="20"/>
                <w:szCs w:val="20"/>
              </w:rPr>
              <w:t>D5 (outcome)</w:t>
            </w:r>
          </w:p>
        </w:tc>
        <w:tc>
          <w:tcPr>
            <w:tcW w:w="7646" w:type="dxa"/>
            <w:shd w:val="clear" w:color="auto" w:fill="auto"/>
          </w:tcPr>
          <w:p w14:paraId="5711A69A"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sz w:val="20"/>
                <w:szCs w:val="20"/>
              </w:rPr>
              <w:t>Number of individuals reporting increased disaster readiness</w:t>
            </w:r>
          </w:p>
        </w:tc>
      </w:tr>
      <w:tr w:rsidR="0041126D" w:rsidRPr="004D40EA" w14:paraId="2A774A51" w14:textId="77777777">
        <w:trPr>
          <w:trHeight w:val="606"/>
        </w:trPr>
        <w:tc>
          <w:tcPr>
            <w:tcW w:w="1728" w:type="dxa"/>
            <w:shd w:val="clear" w:color="auto" w:fill="auto"/>
          </w:tcPr>
          <w:p w14:paraId="0BB5555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46" w:type="dxa"/>
            <w:shd w:val="clear" w:color="auto" w:fill="auto"/>
          </w:tcPr>
          <w:p w14:paraId="4697F9F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those reported in measure D1A</w:t>
            </w:r>
          </w:p>
          <w:p w14:paraId="4F5C7EB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rPr>
              <w:t>Disaster readiness:</w:t>
            </w:r>
            <w:r w:rsidRPr="004D40EA">
              <w:rPr>
                <w:rFonts w:ascii="Avenir Next LT Pro" w:hAnsi="Avenir Next LT Pro"/>
                <w:sz w:val="20"/>
                <w:szCs w:val="20"/>
              </w:rPr>
              <w:t xml:space="preserve">  measures taken to prepare for and reduce the effects of future disasters</w:t>
            </w:r>
          </w:p>
        </w:tc>
      </w:tr>
      <w:tr w:rsidR="0041126D" w:rsidRPr="004D40EA" w14:paraId="0F5BC5AA" w14:textId="77777777">
        <w:trPr>
          <w:trHeight w:val="750"/>
        </w:trPr>
        <w:tc>
          <w:tcPr>
            <w:tcW w:w="1728" w:type="dxa"/>
            <w:shd w:val="clear" w:color="auto" w:fill="auto"/>
          </w:tcPr>
          <w:p w14:paraId="3D6AD29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How to Measure/</w:t>
            </w:r>
          </w:p>
          <w:p w14:paraId="461E3B3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shd w:val="clear" w:color="auto" w:fill="auto"/>
          </w:tcPr>
          <w:p w14:paraId="10D325BF" w14:textId="77777777" w:rsidR="0041126D" w:rsidRPr="004D40EA" w:rsidRDefault="0041126D">
            <w:pPr>
              <w:autoSpaceDE w:val="0"/>
              <w:autoSpaceDN w:val="0"/>
              <w:adjustRightInd w:val="0"/>
              <w:spacing w:after="0" w:line="240" w:lineRule="auto"/>
              <w:contextualSpacing/>
              <w:rPr>
                <w:rFonts w:ascii="Avenir Next LT Pro" w:hAnsi="Avenir Next LT Pro"/>
                <w:sz w:val="20"/>
                <w:szCs w:val="20"/>
              </w:rPr>
            </w:pPr>
            <w:r w:rsidRPr="004D40EA">
              <w:rPr>
                <w:rFonts w:ascii="Avenir Next LT Pro" w:hAnsi="Avenir Next LT Pro"/>
                <w:sz w:val="20"/>
                <w:szCs w:val="20"/>
              </w:rPr>
              <w:t>Survey, interview, or other instrument capable of measuring changes in disaster readiness at the individual beneficiary level.  When possible, pre-post assessments should be utilized.</w:t>
            </w:r>
          </w:p>
        </w:tc>
      </w:tr>
    </w:tbl>
    <w:p w14:paraId="4EBAC3DA" w14:textId="77777777" w:rsidR="0041126D" w:rsidRPr="004D40EA" w:rsidRDefault="0041126D" w:rsidP="0041126D">
      <w:pPr>
        <w:spacing w:after="0" w:line="240" w:lineRule="auto"/>
        <w:contextualSpacing/>
        <w:rPr>
          <w:rFonts w:ascii="Avenir Next LT Pro" w:hAnsi="Avenir Next LT Pro"/>
          <w:sz w:val="20"/>
          <w:szCs w:val="20"/>
        </w:rPr>
      </w:pPr>
    </w:p>
    <w:p w14:paraId="6DF86BC4"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7FF2DA6E" w14:textId="77777777">
        <w:trPr>
          <w:trHeight w:val="377"/>
        </w:trPr>
        <w:tc>
          <w:tcPr>
            <w:tcW w:w="1728" w:type="dxa"/>
            <w:shd w:val="clear" w:color="auto" w:fill="auto"/>
          </w:tcPr>
          <w:p w14:paraId="6E4B3BC8"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D6 (output)</w:t>
            </w:r>
          </w:p>
        </w:tc>
        <w:tc>
          <w:tcPr>
            <w:tcW w:w="7646" w:type="dxa"/>
            <w:shd w:val="clear" w:color="auto" w:fill="auto"/>
          </w:tcPr>
          <w:p w14:paraId="574151F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structures protected or restored</w:t>
            </w:r>
          </w:p>
        </w:tc>
      </w:tr>
      <w:tr w:rsidR="0041126D" w:rsidRPr="004D40EA" w14:paraId="0638A2F2" w14:textId="77777777">
        <w:trPr>
          <w:trHeight w:val="651"/>
        </w:trPr>
        <w:tc>
          <w:tcPr>
            <w:tcW w:w="1728" w:type="dxa"/>
            <w:shd w:val="clear" w:color="auto" w:fill="auto"/>
          </w:tcPr>
          <w:p w14:paraId="22B29C68"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shd w:val="clear" w:color="auto" w:fill="auto"/>
          </w:tcPr>
          <w:p w14:paraId="392711B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Structures: </w:t>
            </w:r>
            <w:r w:rsidRPr="004D40EA">
              <w:rPr>
                <w:rFonts w:ascii="Avenir Next LT Pro" w:hAnsi="Avenir Next LT Pro"/>
                <w:sz w:val="20"/>
                <w:szCs w:val="20"/>
              </w:rPr>
              <w:t>housing units or public facilities</w:t>
            </w:r>
          </w:p>
          <w:p w14:paraId="2AE00582" w14:textId="77777777" w:rsidR="0041126D" w:rsidRPr="004D40EA" w:rsidRDefault="0041126D">
            <w:pPr>
              <w:spacing w:after="0" w:line="240" w:lineRule="auto"/>
              <w:contextualSpacing/>
              <w:rPr>
                <w:rFonts w:ascii="Avenir Next LT Pro" w:hAnsi="Avenir Next LT Pro"/>
                <w:sz w:val="20"/>
                <w:szCs w:val="20"/>
                <w:lang w:val="en"/>
              </w:rPr>
            </w:pPr>
            <w:r w:rsidRPr="004D40EA">
              <w:rPr>
                <w:rFonts w:ascii="Avenir Next LT Pro" w:hAnsi="Avenir Next LT Pro"/>
                <w:b/>
                <w:sz w:val="20"/>
                <w:szCs w:val="20"/>
                <w:lang w:val="en"/>
              </w:rPr>
              <w:t>Protected:</w:t>
            </w:r>
            <w:r w:rsidRPr="004D40EA">
              <w:rPr>
                <w:rFonts w:ascii="Avenir Next LT Pro" w:hAnsi="Avenir Next LT Pro"/>
                <w:sz w:val="20"/>
                <w:szCs w:val="20"/>
                <w:lang w:val="en"/>
              </w:rPr>
              <w:t xml:space="preserve"> prepared to </w:t>
            </w:r>
            <w:proofErr w:type="gramStart"/>
            <w:r w:rsidRPr="004D40EA">
              <w:rPr>
                <w:rFonts w:ascii="Avenir Next LT Pro" w:hAnsi="Avenir Next LT Pro"/>
                <w:sz w:val="20"/>
                <w:szCs w:val="20"/>
                <w:lang w:val="en"/>
              </w:rPr>
              <w:t>more effectively withstand future disasters</w:t>
            </w:r>
            <w:proofErr w:type="gramEnd"/>
          </w:p>
          <w:p w14:paraId="6F40062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lang w:val="en"/>
              </w:rPr>
              <w:t>Restored:</w:t>
            </w:r>
            <w:r w:rsidRPr="004D40EA">
              <w:rPr>
                <w:rFonts w:ascii="Avenir Next LT Pro" w:hAnsi="Avenir Next LT Pro"/>
                <w:sz w:val="20"/>
                <w:szCs w:val="20"/>
                <w:lang w:val="en"/>
              </w:rPr>
              <w:t xml:space="preserve"> repaired from damage sustained during a disaster</w:t>
            </w:r>
          </w:p>
        </w:tc>
      </w:tr>
      <w:tr w:rsidR="0041126D" w:rsidRPr="004D40EA" w14:paraId="2E16589A" w14:textId="77777777">
        <w:trPr>
          <w:trHeight w:val="611"/>
        </w:trPr>
        <w:tc>
          <w:tcPr>
            <w:tcW w:w="1728" w:type="dxa"/>
            <w:shd w:val="clear" w:color="auto" w:fill="auto"/>
          </w:tcPr>
          <w:p w14:paraId="45CFC7CD"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How to Measure/ </w:t>
            </w:r>
          </w:p>
          <w:p w14:paraId="4F30CB8E"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Collect Data</w:t>
            </w:r>
          </w:p>
        </w:tc>
        <w:tc>
          <w:tcPr>
            <w:tcW w:w="7646" w:type="dxa"/>
            <w:shd w:val="clear" w:color="auto" w:fill="auto"/>
          </w:tcPr>
          <w:p w14:paraId="1DFDD66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Tracking mechanism that ensures an unduplicated count of structures that received services</w:t>
            </w:r>
          </w:p>
        </w:tc>
      </w:tr>
    </w:tbl>
    <w:p w14:paraId="2A51CE1C" w14:textId="77777777" w:rsidR="0041126D" w:rsidRPr="004D40EA" w:rsidRDefault="0041126D" w:rsidP="0041126D">
      <w:pPr>
        <w:spacing w:after="0" w:line="240" w:lineRule="auto"/>
        <w:contextualSpacing/>
        <w:rPr>
          <w:rFonts w:ascii="Avenir Next LT Pro" w:hAnsi="Avenir Next LT Pro"/>
          <w:sz w:val="20"/>
          <w:szCs w:val="20"/>
        </w:rPr>
      </w:pPr>
    </w:p>
    <w:p w14:paraId="1F5CCA90" w14:textId="77777777" w:rsidR="0041126D" w:rsidRPr="004D40EA" w:rsidRDefault="0041126D" w:rsidP="0041126D">
      <w:pPr>
        <w:spacing w:after="0" w:line="240" w:lineRule="auto"/>
        <w:contextualSpacing/>
        <w:rPr>
          <w:rFonts w:ascii="Avenir Next LT Pro" w:hAnsi="Avenir Next LT Pr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6"/>
        <w:gridCol w:w="7624"/>
      </w:tblGrid>
      <w:tr w:rsidR="0041126D" w:rsidRPr="004D40EA" w14:paraId="67BAEE31" w14:textId="77777777">
        <w:trPr>
          <w:trHeight w:val="377"/>
        </w:trPr>
        <w:tc>
          <w:tcPr>
            <w:tcW w:w="1728" w:type="dxa"/>
            <w:shd w:val="clear" w:color="auto" w:fill="auto"/>
          </w:tcPr>
          <w:p w14:paraId="45D3A73E" w14:textId="77777777" w:rsidR="0041126D" w:rsidRPr="004D40EA" w:rsidRDefault="0041126D">
            <w:pPr>
              <w:spacing w:line="240" w:lineRule="auto"/>
              <w:rPr>
                <w:rFonts w:ascii="Avenir Next LT Pro" w:hAnsi="Avenir Next LT Pro"/>
                <w:b/>
                <w:sz w:val="20"/>
                <w:szCs w:val="20"/>
              </w:rPr>
            </w:pPr>
            <w:r w:rsidRPr="004D40EA">
              <w:rPr>
                <w:rFonts w:ascii="Avenir Next LT Pro" w:hAnsi="Avenir Next LT Pro"/>
                <w:b/>
                <w:sz w:val="20"/>
                <w:szCs w:val="20"/>
              </w:rPr>
              <w:t>D7 (outcome)</w:t>
            </w:r>
          </w:p>
        </w:tc>
        <w:tc>
          <w:tcPr>
            <w:tcW w:w="7646" w:type="dxa"/>
            <w:shd w:val="clear" w:color="auto" w:fill="auto"/>
          </w:tcPr>
          <w:p w14:paraId="63C3C073" w14:textId="77777777" w:rsidR="0041126D" w:rsidRPr="004D40EA" w:rsidRDefault="0041126D">
            <w:pPr>
              <w:spacing w:line="240" w:lineRule="auto"/>
              <w:rPr>
                <w:rFonts w:ascii="Avenir Next LT Pro" w:hAnsi="Avenir Next LT Pro"/>
                <w:sz w:val="20"/>
                <w:szCs w:val="20"/>
              </w:rPr>
            </w:pPr>
            <w:r w:rsidRPr="004D40EA">
              <w:rPr>
                <w:rFonts w:ascii="Avenir Next LT Pro" w:hAnsi="Avenir Next LT Pro"/>
                <w:sz w:val="20"/>
                <w:szCs w:val="20"/>
              </w:rPr>
              <w:t>Number of structures returned to regular use after a disaster</w:t>
            </w:r>
          </w:p>
        </w:tc>
      </w:tr>
      <w:tr w:rsidR="0041126D" w:rsidRPr="004D40EA" w14:paraId="4CA337B8" w14:textId="77777777">
        <w:trPr>
          <w:trHeight w:val="606"/>
        </w:trPr>
        <w:tc>
          <w:tcPr>
            <w:tcW w:w="1728" w:type="dxa"/>
            <w:shd w:val="clear" w:color="auto" w:fill="auto"/>
          </w:tcPr>
          <w:p w14:paraId="0950B5A8" w14:textId="77777777" w:rsidR="0041126D" w:rsidRPr="004D40EA" w:rsidRDefault="0041126D">
            <w:pPr>
              <w:spacing w:after="0" w:line="240" w:lineRule="auto"/>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shd w:val="clear" w:color="auto" w:fill="auto"/>
          </w:tcPr>
          <w:p w14:paraId="78559810" w14:textId="77777777" w:rsidR="0041126D" w:rsidRPr="004D40EA" w:rsidRDefault="0041126D">
            <w:pPr>
              <w:spacing w:after="0" w:line="240" w:lineRule="auto"/>
              <w:rPr>
                <w:rFonts w:ascii="Avenir Next LT Pro" w:hAnsi="Avenir Next LT Pro"/>
                <w:sz w:val="20"/>
                <w:szCs w:val="20"/>
              </w:rPr>
            </w:pPr>
            <w:r w:rsidRPr="004D40EA">
              <w:rPr>
                <w:rFonts w:ascii="Avenir Next LT Pro" w:hAnsi="Avenir Next LT Pro"/>
                <w:b/>
                <w:sz w:val="20"/>
                <w:szCs w:val="20"/>
              </w:rPr>
              <w:t xml:space="preserve">Structures: </w:t>
            </w:r>
            <w:r w:rsidRPr="004D40EA">
              <w:rPr>
                <w:rFonts w:ascii="Avenir Next LT Pro" w:hAnsi="Avenir Next LT Pro"/>
                <w:sz w:val="20"/>
                <w:szCs w:val="20"/>
              </w:rPr>
              <w:t>those reported in measure D6</w:t>
            </w:r>
          </w:p>
          <w:p w14:paraId="06B79A33" w14:textId="77777777" w:rsidR="0041126D" w:rsidRPr="004D40EA" w:rsidRDefault="0041126D">
            <w:pPr>
              <w:spacing w:after="0" w:line="240" w:lineRule="auto"/>
              <w:rPr>
                <w:rFonts w:ascii="Avenir Next LT Pro" w:hAnsi="Avenir Next LT Pro"/>
                <w:sz w:val="20"/>
                <w:szCs w:val="20"/>
              </w:rPr>
            </w:pPr>
            <w:r w:rsidRPr="004D40EA">
              <w:rPr>
                <w:rFonts w:ascii="Avenir Next LT Pro" w:hAnsi="Avenir Next LT Pro"/>
                <w:b/>
                <w:sz w:val="20"/>
                <w:szCs w:val="20"/>
              </w:rPr>
              <w:lastRenderedPageBreak/>
              <w:t>Returned to regular use:</w:t>
            </w:r>
            <w:r w:rsidRPr="004D40EA">
              <w:rPr>
                <w:rFonts w:ascii="Avenir Next LT Pro" w:hAnsi="Avenir Next LT Pro"/>
                <w:sz w:val="20"/>
                <w:szCs w:val="20"/>
              </w:rPr>
              <w:t xml:space="preserve"> able to be used for the same or similar purpose for which they were used prior to the disaster </w:t>
            </w:r>
          </w:p>
        </w:tc>
      </w:tr>
      <w:tr w:rsidR="0041126D" w:rsidRPr="004D40EA" w14:paraId="6BBCDA7A" w14:textId="77777777">
        <w:trPr>
          <w:trHeight w:val="521"/>
        </w:trPr>
        <w:tc>
          <w:tcPr>
            <w:tcW w:w="1728" w:type="dxa"/>
            <w:shd w:val="clear" w:color="auto" w:fill="auto"/>
          </w:tcPr>
          <w:p w14:paraId="2C9D7998" w14:textId="77777777" w:rsidR="0041126D" w:rsidRPr="004D40EA" w:rsidRDefault="0041126D">
            <w:pPr>
              <w:spacing w:after="0" w:line="240" w:lineRule="auto"/>
              <w:rPr>
                <w:rFonts w:ascii="Avenir Next LT Pro" w:hAnsi="Avenir Next LT Pro"/>
                <w:b/>
                <w:sz w:val="20"/>
                <w:szCs w:val="20"/>
              </w:rPr>
            </w:pPr>
            <w:r w:rsidRPr="004D40EA">
              <w:rPr>
                <w:rFonts w:ascii="Avenir Next LT Pro" w:hAnsi="Avenir Next LT Pro"/>
                <w:b/>
                <w:sz w:val="20"/>
                <w:szCs w:val="20"/>
              </w:rPr>
              <w:lastRenderedPageBreak/>
              <w:t>How to Measure/</w:t>
            </w:r>
          </w:p>
          <w:p w14:paraId="304E7757" w14:textId="77777777" w:rsidR="0041126D" w:rsidRPr="004D40EA" w:rsidRDefault="0041126D">
            <w:pPr>
              <w:spacing w:after="0" w:line="240" w:lineRule="auto"/>
              <w:rPr>
                <w:rFonts w:ascii="Avenir Next LT Pro" w:hAnsi="Avenir Next LT Pro"/>
                <w:b/>
                <w:sz w:val="20"/>
                <w:szCs w:val="20"/>
              </w:rPr>
            </w:pPr>
            <w:r w:rsidRPr="004D40EA">
              <w:rPr>
                <w:rFonts w:ascii="Avenir Next LT Pro" w:hAnsi="Avenir Next LT Pro"/>
                <w:b/>
                <w:sz w:val="20"/>
                <w:szCs w:val="20"/>
              </w:rPr>
              <w:t>Collect Data</w:t>
            </w:r>
          </w:p>
        </w:tc>
        <w:tc>
          <w:tcPr>
            <w:tcW w:w="7646" w:type="dxa"/>
            <w:shd w:val="clear" w:color="auto" w:fill="auto"/>
          </w:tcPr>
          <w:p w14:paraId="4D450425" w14:textId="77777777" w:rsidR="0041126D" w:rsidRPr="004D40EA" w:rsidRDefault="0041126D">
            <w:pPr>
              <w:spacing w:after="0" w:line="240" w:lineRule="auto"/>
              <w:rPr>
                <w:rFonts w:ascii="Avenir Next LT Pro" w:hAnsi="Avenir Next LT Pro"/>
                <w:sz w:val="20"/>
                <w:szCs w:val="20"/>
              </w:rPr>
            </w:pPr>
            <w:r w:rsidRPr="004D40EA">
              <w:rPr>
                <w:rFonts w:ascii="Avenir Next LT Pro" w:hAnsi="Avenir Next LT Pro"/>
                <w:sz w:val="20"/>
                <w:szCs w:val="20"/>
              </w:rPr>
              <w:t>Report from structure owner/manager/occupant, or other instrument capable of measuring changes in condition at the individual structure level.</w:t>
            </w:r>
          </w:p>
        </w:tc>
      </w:tr>
    </w:tbl>
    <w:p w14:paraId="47166EC2" w14:textId="77777777" w:rsidR="0041126D" w:rsidRPr="004D40EA" w:rsidRDefault="0041126D" w:rsidP="0041126D">
      <w:pPr>
        <w:pStyle w:val="Heading1"/>
        <w:spacing w:after="0" w:line="240" w:lineRule="auto"/>
        <w:contextualSpacing/>
        <w:rPr>
          <w:rStyle w:val="Strong1"/>
          <w:rFonts w:ascii="Avenir Next LT Pro" w:hAnsi="Avenir Next LT Pro"/>
          <w:szCs w:val="20"/>
        </w:rPr>
      </w:pPr>
      <w:r w:rsidRPr="004D40EA">
        <w:rPr>
          <w:rFonts w:ascii="Avenir Next LT Pro" w:hAnsi="Avenir Next LT Pro"/>
          <w:sz w:val="20"/>
          <w:szCs w:val="20"/>
        </w:rPr>
        <w:br w:type="page"/>
      </w:r>
      <w:bookmarkStart w:id="12" w:name="_Toc371442624"/>
      <w:bookmarkStart w:id="13" w:name="_Toc371442732"/>
      <w:bookmarkStart w:id="14" w:name="_Toc517776111"/>
      <w:bookmarkStart w:id="15" w:name="_Toc518376071"/>
      <w:bookmarkStart w:id="16" w:name="_Toc518377552"/>
      <w:r w:rsidRPr="004D40EA">
        <w:rPr>
          <w:rStyle w:val="Strong1"/>
          <w:rFonts w:ascii="Avenir Next LT Pro" w:hAnsi="Avenir Next LT Pro"/>
          <w:szCs w:val="20"/>
        </w:rPr>
        <w:lastRenderedPageBreak/>
        <w:t>ECONOMIC OPPORTUNITY</w:t>
      </w:r>
      <w:bookmarkEnd w:id="12"/>
      <w:bookmarkEnd w:id="13"/>
      <w:bookmarkEnd w:id="14"/>
      <w:bookmarkEnd w:id="15"/>
      <w:bookmarkEnd w:id="16"/>
      <w:r w:rsidRPr="004D40EA">
        <w:rPr>
          <w:rStyle w:val="Strong1"/>
          <w:rFonts w:ascii="Avenir Next LT Pro" w:hAnsi="Avenir Next LT Pro"/>
          <w:szCs w:val="20"/>
        </w:rPr>
        <w:br/>
      </w:r>
    </w:p>
    <w:p w14:paraId="42A3ECCE"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Focus Area Notes </w:t>
      </w:r>
    </w:p>
    <w:p w14:paraId="25C07CFE"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Economic Opportunity performance measures if the measures reflect significant program activities aligned with the applicant’s core theory of change.  </w:t>
      </w:r>
    </w:p>
    <w:p w14:paraId="6487F42A"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All individuals counted under these measures must be program beneficiaries, not National Service Participants.  National Service Participant outputs and outcomes should be reported in the Performance Data Elements in annual Progress Reports.</w:t>
      </w:r>
    </w:p>
    <w:p w14:paraId="4EAECB92"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Activities associated with these measures must be carried out by National Service Participants or by volunteers directly recruited and/or supported by National Service Participants.</w:t>
      </w:r>
    </w:p>
    <w:p w14:paraId="22C4717D" w14:textId="77777777" w:rsidR="0041126D" w:rsidRPr="004D40EA" w:rsidRDefault="0041126D" w:rsidP="0041126D">
      <w:pPr>
        <w:spacing w:after="0" w:line="240" w:lineRule="auto"/>
        <w:contextualSpacing/>
        <w:rPr>
          <w:rFonts w:ascii="Avenir Next LT Pro" w:hAnsi="Avenir Next LT Pro"/>
          <w:sz w:val="20"/>
          <w:szCs w:val="20"/>
        </w:rPr>
      </w:pPr>
    </w:p>
    <w:p w14:paraId="65428CE5"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6E071D0F" w14:textId="77777777">
        <w:trPr>
          <w:trHeight w:val="332"/>
        </w:trPr>
        <w:tc>
          <w:tcPr>
            <w:tcW w:w="1728" w:type="dxa"/>
            <w:shd w:val="clear" w:color="auto" w:fill="auto"/>
          </w:tcPr>
          <w:p w14:paraId="452407C8"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O1A (output)</w:t>
            </w:r>
          </w:p>
        </w:tc>
        <w:tc>
          <w:tcPr>
            <w:tcW w:w="7646" w:type="dxa"/>
            <w:shd w:val="clear" w:color="auto" w:fill="auto"/>
          </w:tcPr>
          <w:p w14:paraId="124B4E4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individuals served</w:t>
            </w:r>
          </w:p>
        </w:tc>
      </w:tr>
      <w:tr w:rsidR="0041126D" w:rsidRPr="004D40EA" w14:paraId="64928D80" w14:textId="77777777">
        <w:trPr>
          <w:trHeight w:val="458"/>
        </w:trPr>
        <w:tc>
          <w:tcPr>
            <w:tcW w:w="1728" w:type="dxa"/>
            <w:shd w:val="clear" w:color="auto" w:fill="auto"/>
          </w:tcPr>
          <w:p w14:paraId="21F2C0C9"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shd w:val="clear" w:color="auto" w:fill="auto"/>
          </w:tcPr>
          <w:p w14:paraId="78DAAE1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recipients of AmeriCorps-supported services related to increasing economic opportunity</w:t>
            </w:r>
          </w:p>
          <w:p w14:paraId="7854B43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lang w:val="en"/>
              </w:rPr>
              <w:t>Served:</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goal in mind related to economic opportunity.  Cannot consist solely of mass dissemination of information such as email blasts, social media posts, or distributing pamphlets.</w:t>
            </w:r>
          </w:p>
        </w:tc>
      </w:tr>
      <w:tr w:rsidR="0041126D" w:rsidRPr="004D40EA" w14:paraId="1C7C1073" w14:textId="77777777">
        <w:trPr>
          <w:trHeight w:val="602"/>
        </w:trPr>
        <w:tc>
          <w:tcPr>
            <w:tcW w:w="1728" w:type="dxa"/>
            <w:shd w:val="clear" w:color="auto" w:fill="auto"/>
          </w:tcPr>
          <w:p w14:paraId="654B5A83"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46" w:type="dxa"/>
            <w:shd w:val="clear" w:color="auto" w:fill="auto"/>
          </w:tcPr>
          <w:p w14:paraId="16DC4CD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Tracking mechanism that ensures an unduplicated count of individuals who have received services</w:t>
            </w:r>
          </w:p>
        </w:tc>
      </w:tr>
    </w:tbl>
    <w:p w14:paraId="5E8FBE6D" w14:textId="77777777" w:rsidR="0041126D" w:rsidRPr="004D40EA" w:rsidRDefault="0041126D" w:rsidP="0041126D">
      <w:pPr>
        <w:spacing w:after="0" w:line="240" w:lineRule="auto"/>
        <w:contextualSpacing/>
        <w:rPr>
          <w:rStyle w:val="Strong1"/>
          <w:rFonts w:ascii="Avenir Next LT Pro" w:hAnsi="Avenir Next LT Pro"/>
          <w:szCs w:val="20"/>
        </w:rPr>
      </w:pPr>
    </w:p>
    <w:p w14:paraId="4B8953B5" w14:textId="77777777" w:rsidR="0041126D" w:rsidRPr="004D40EA" w:rsidRDefault="0041126D" w:rsidP="0041126D">
      <w:pPr>
        <w:spacing w:after="0" w:line="240" w:lineRule="auto"/>
        <w:contextualSpacing/>
        <w:rPr>
          <w:rStyle w:val="Strong1"/>
          <w:rFonts w:ascii="Avenir Next LT Pro" w:hAnsi="Avenir Next LT Pro"/>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015958C9" w14:textId="77777777">
        <w:trPr>
          <w:trHeight w:val="386"/>
        </w:trPr>
        <w:tc>
          <w:tcPr>
            <w:tcW w:w="1728" w:type="dxa"/>
            <w:shd w:val="clear" w:color="auto" w:fill="auto"/>
          </w:tcPr>
          <w:p w14:paraId="6E5D271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O4 (output)</w:t>
            </w:r>
          </w:p>
        </w:tc>
        <w:tc>
          <w:tcPr>
            <w:tcW w:w="7646" w:type="dxa"/>
            <w:shd w:val="clear" w:color="auto" w:fill="auto"/>
          </w:tcPr>
          <w:p w14:paraId="06B24DA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housing units developed or repaired</w:t>
            </w:r>
          </w:p>
        </w:tc>
      </w:tr>
      <w:tr w:rsidR="0041126D" w:rsidRPr="004D40EA" w14:paraId="4ADFDA40" w14:textId="77777777">
        <w:trPr>
          <w:trHeight w:val="1628"/>
        </w:trPr>
        <w:tc>
          <w:tcPr>
            <w:tcW w:w="1728" w:type="dxa"/>
            <w:shd w:val="clear" w:color="auto" w:fill="auto"/>
          </w:tcPr>
          <w:p w14:paraId="5BAFC014"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shd w:val="clear" w:color="auto" w:fill="auto"/>
          </w:tcPr>
          <w:p w14:paraId="0068ADCA"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Housing unit:</w:t>
            </w:r>
            <w:r w:rsidRPr="004D40EA">
              <w:rPr>
                <w:rFonts w:ascii="Avenir Next LT Pro" w:hAnsi="Avenir Next LT Pro"/>
                <w:sz w:val="20"/>
                <w:szCs w:val="20"/>
              </w:rPr>
              <w:t xml:space="preserve">  A single-family home (including a mobile home if permanently placed), an apartment, or a room in a group home for people with disabilities</w:t>
            </w:r>
            <w:r w:rsidRPr="004D40EA">
              <w:rPr>
                <w:rFonts w:ascii="Avenir Next LT Pro" w:hAnsi="Avenir Next LT Pro"/>
                <w:sz w:val="20"/>
                <w:szCs w:val="20"/>
              </w:rPr>
              <w:br/>
            </w:r>
            <w:r w:rsidRPr="004D40EA">
              <w:rPr>
                <w:rFonts w:ascii="Avenir Next LT Pro" w:hAnsi="Avenir Next LT Pro"/>
                <w:b/>
                <w:sz w:val="20"/>
                <w:szCs w:val="20"/>
              </w:rPr>
              <w:t>Develop:</w:t>
            </w:r>
            <w:r w:rsidRPr="004D40EA">
              <w:rPr>
                <w:rFonts w:ascii="Avenir Next LT Pro" w:hAnsi="Avenir Next LT Pro"/>
                <w:sz w:val="20"/>
                <w:szCs w:val="20"/>
              </w:rPr>
              <w:t xml:space="preserve"> Build new or substantially rehabilitate housing units that were uninhabitable or soon would have become so.  Involves replacing major systems such as the roof, the plumbing, the wiring, the foundation, or elevating the unit as required by a flood plain standard.  </w:t>
            </w:r>
            <w:r w:rsidRPr="004D40EA">
              <w:rPr>
                <w:rFonts w:ascii="Avenir Next LT Pro" w:hAnsi="Avenir Next LT Pro"/>
                <w:sz w:val="20"/>
                <w:szCs w:val="20"/>
              </w:rPr>
              <w:br/>
            </w:r>
            <w:r w:rsidRPr="004D40EA">
              <w:rPr>
                <w:rFonts w:ascii="Avenir Next LT Pro" w:hAnsi="Avenir Next LT Pro"/>
                <w:b/>
                <w:sz w:val="20"/>
                <w:szCs w:val="20"/>
              </w:rPr>
              <w:t>Repair:</w:t>
            </w:r>
            <w:r w:rsidRPr="004D40EA">
              <w:rPr>
                <w:rFonts w:ascii="Avenir Next LT Pro" w:hAnsi="Avenir Next LT Pro"/>
                <w:sz w:val="20"/>
                <w:szCs w:val="20"/>
              </w:rPr>
              <w:t xml:space="preserve"> A more modest level of physical work on the unit, such as weatherizing, painting, replacing appliances and removing safety hazards</w:t>
            </w:r>
          </w:p>
        </w:tc>
      </w:tr>
      <w:tr w:rsidR="0041126D" w:rsidRPr="004D40EA" w14:paraId="645F32C6" w14:textId="77777777">
        <w:trPr>
          <w:trHeight w:val="620"/>
        </w:trPr>
        <w:tc>
          <w:tcPr>
            <w:tcW w:w="1728" w:type="dxa"/>
            <w:shd w:val="clear" w:color="auto" w:fill="auto"/>
          </w:tcPr>
          <w:p w14:paraId="08C4A81D"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46" w:type="dxa"/>
            <w:shd w:val="clear" w:color="auto" w:fill="auto"/>
          </w:tcPr>
          <w:p w14:paraId="7B7220B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Tracking mechanism that ensures an unduplicated count of the number of housing units that have received AmeriCorps-supported development or repair services </w:t>
            </w:r>
          </w:p>
        </w:tc>
      </w:tr>
    </w:tbl>
    <w:p w14:paraId="332BCBA5" w14:textId="77777777" w:rsidR="0041126D" w:rsidRPr="004D40EA" w:rsidRDefault="0041126D" w:rsidP="0041126D">
      <w:pPr>
        <w:spacing w:after="0" w:line="240" w:lineRule="auto"/>
        <w:contextualSpacing/>
        <w:rPr>
          <w:rFonts w:ascii="Avenir Next LT Pro" w:hAnsi="Avenir Next LT Pro"/>
          <w:b/>
          <w:i/>
          <w:sz w:val="20"/>
          <w:szCs w:val="20"/>
        </w:rPr>
      </w:pPr>
    </w:p>
    <w:p w14:paraId="32303A21" w14:textId="77777777" w:rsidR="0041126D" w:rsidRPr="004D40EA" w:rsidRDefault="0041126D" w:rsidP="0041126D">
      <w:pPr>
        <w:pStyle w:val="FreeForm"/>
        <w:contextualSpacing/>
        <w:rPr>
          <w:rFonts w:ascii="Avenir Next LT Pro" w:hAnsi="Avenir Next LT Pro"/>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6F9006CB" w14:textId="77777777">
        <w:trPr>
          <w:trHeight w:val="341"/>
        </w:trPr>
        <w:tc>
          <w:tcPr>
            <w:tcW w:w="1728" w:type="dxa"/>
            <w:shd w:val="clear" w:color="auto" w:fill="auto"/>
          </w:tcPr>
          <w:p w14:paraId="7F32DEDF"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O9 (outcome)</w:t>
            </w:r>
          </w:p>
        </w:tc>
        <w:tc>
          <w:tcPr>
            <w:tcW w:w="7646" w:type="dxa"/>
            <w:shd w:val="clear" w:color="auto" w:fill="auto"/>
          </w:tcPr>
          <w:p w14:paraId="5D9D1DE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individuals with improved financial knowledge</w:t>
            </w:r>
          </w:p>
        </w:tc>
      </w:tr>
      <w:tr w:rsidR="0041126D" w:rsidRPr="004D40EA" w14:paraId="0A106AB5" w14:textId="77777777">
        <w:trPr>
          <w:trHeight w:val="971"/>
        </w:trPr>
        <w:tc>
          <w:tcPr>
            <w:tcW w:w="1728" w:type="dxa"/>
            <w:shd w:val="clear" w:color="auto" w:fill="auto"/>
          </w:tcPr>
          <w:p w14:paraId="03619395"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shd w:val="clear" w:color="auto" w:fill="auto"/>
          </w:tcPr>
          <w:p w14:paraId="51677C17"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those reported in measure O1A, V1, V7A, or V8</w:t>
            </w:r>
            <w:r w:rsidRPr="004D40EA">
              <w:rPr>
                <w:rFonts w:ascii="Avenir Next LT Pro" w:hAnsi="Avenir Next LT Pro"/>
                <w:sz w:val="20"/>
                <w:szCs w:val="20"/>
              </w:rPr>
              <w:br/>
            </w:r>
            <w:r w:rsidRPr="004D40EA">
              <w:rPr>
                <w:rFonts w:ascii="Avenir Next LT Pro" w:hAnsi="Avenir Next LT Pro"/>
                <w:b/>
                <w:sz w:val="20"/>
                <w:szCs w:val="20"/>
              </w:rPr>
              <w:t>Improved financial knowledge:</w:t>
            </w:r>
            <w:r w:rsidRPr="004D40EA">
              <w:rPr>
                <w:rFonts w:ascii="Avenir Next LT Pro" w:hAnsi="Avenir Next LT Pro"/>
                <w:sz w:val="20"/>
                <w:szCs w:val="20"/>
              </w:rPr>
              <w:t xml:space="preserve"> increased knowledge/understanding of financial literacy topics such as credit management, financial institutions including banks and credit unions, and utilization of savings plans</w:t>
            </w:r>
            <w:r w:rsidRPr="004D40EA" w:rsidDel="006104B9">
              <w:rPr>
                <w:rFonts w:ascii="Avenir Next LT Pro" w:hAnsi="Avenir Next LT Pro"/>
                <w:sz w:val="20"/>
                <w:szCs w:val="20"/>
              </w:rPr>
              <w:t xml:space="preserve"> </w:t>
            </w:r>
          </w:p>
        </w:tc>
      </w:tr>
      <w:tr w:rsidR="0041126D" w:rsidRPr="004D40EA" w14:paraId="053D66AA" w14:textId="77777777">
        <w:trPr>
          <w:trHeight w:val="566"/>
        </w:trPr>
        <w:tc>
          <w:tcPr>
            <w:tcW w:w="1728" w:type="dxa"/>
            <w:shd w:val="clear" w:color="auto" w:fill="auto"/>
          </w:tcPr>
          <w:p w14:paraId="32DA47E5"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46" w:type="dxa"/>
            <w:shd w:val="clear" w:color="auto" w:fill="auto"/>
          </w:tcPr>
          <w:p w14:paraId="7B04E11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Survey, interview, or other instrument capable of measuring changes in financial knowledge at the individual beneficiary level.  When possible, pre-post assessments should be utilized.</w:t>
            </w:r>
          </w:p>
        </w:tc>
      </w:tr>
    </w:tbl>
    <w:p w14:paraId="1F9839BD" w14:textId="77777777" w:rsidR="0041126D" w:rsidRPr="004D40EA" w:rsidRDefault="0041126D" w:rsidP="0041126D">
      <w:pPr>
        <w:spacing w:after="0" w:line="240" w:lineRule="auto"/>
        <w:contextualSpacing/>
        <w:rPr>
          <w:rFonts w:ascii="Avenir Next LT Pro" w:hAnsi="Avenir Next LT Pro"/>
        </w:rPr>
      </w:pPr>
    </w:p>
    <w:p w14:paraId="2DEBC10F" w14:textId="77777777" w:rsidR="0041126D" w:rsidRPr="004D40EA" w:rsidRDefault="0041126D" w:rsidP="0041126D">
      <w:pPr>
        <w:spacing w:after="0" w:line="240" w:lineRule="auto"/>
        <w:contextualSpacing/>
        <w:rPr>
          <w:rFonts w:ascii="Avenir Next LT Pro" w:hAnsi="Avenir Next LT Pro"/>
        </w:rPr>
      </w:pPr>
      <w:r w:rsidRPr="004D40EA">
        <w:rPr>
          <w:rFonts w:ascii="Avenir Next LT Pro" w:hAnsi="Avenir Next LT Pro"/>
        </w:rPr>
        <w:br w:type="page"/>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4C60FB4D" w14:textId="77777777">
        <w:trPr>
          <w:trHeight w:val="480"/>
        </w:trPr>
        <w:tc>
          <w:tcPr>
            <w:tcW w:w="1728" w:type="dxa"/>
            <w:shd w:val="clear" w:color="auto" w:fill="auto"/>
          </w:tcPr>
          <w:p w14:paraId="485A152B"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lastRenderedPageBreak/>
              <w:t>O10 (outcome)</w:t>
            </w:r>
          </w:p>
        </w:tc>
        <w:tc>
          <w:tcPr>
            <w:tcW w:w="7646" w:type="dxa"/>
            <w:shd w:val="clear" w:color="auto" w:fill="auto"/>
          </w:tcPr>
          <w:p w14:paraId="42EAFFB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individuals who secure employment</w:t>
            </w:r>
          </w:p>
        </w:tc>
      </w:tr>
      <w:tr w:rsidR="0041126D" w:rsidRPr="004D40EA" w14:paraId="487B0ADE" w14:textId="77777777">
        <w:trPr>
          <w:trHeight w:val="746"/>
        </w:trPr>
        <w:tc>
          <w:tcPr>
            <w:tcW w:w="1728" w:type="dxa"/>
            <w:shd w:val="clear" w:color="auto" w:fill="auto"/>
          </w:tcPr>
          <w:p w14:paraId="3F95A16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46" w:type="dxa"/>
            <w:shd w:val="clear" w:color="auto" w:fill="auto"/>
          </w:tcPr>
          <w:p w14:paraId="6A5E8E0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 xml:space="preserve">Individuals: </w:t>
            </w:r>
            <w:r w:rsidRPr="004D40EA">
              <w:rPr>
                <w:rFonts w:ascii="Avenir Next LT Pro" w:hAnsi="Avenir Next LT Pro"/>
                <w:sz w:val="20"/>
                <w:szCs w:val="20"/>
              </w:rPr>
              <w:t>those reported in measure O1A, V1, V7A, or V8</w:t>
            </w:r>
            <w:r w:rsidRPr="004D40EA">
              <w:rPr>
                <w:rFonts w:ascii="Avenir Next LT Pro" w:hAnsi="Avenir Next LT Pro"/>
                <w:sz w:val="20"/>
                <w:szCs w:val="20"/>
              </w:rPr>
              <w:br/>
            </w:r>
            <w:r w:rsidRPr="004D40EA">
              <w:rPr>
                <w:rFonts w:ascii="Avenir Next LT Pro" w:hAnsi="Avenir Next LT Pro"/>
                <w:b/>
                <w:sz w:val="20"/>
                <w:szCs w:val="20"/>
              </w:rPr>
              <w:t>Secure employment:</w:t>
            </w:r>
            <w:r w:rsidRPr="004D40EA">
              <w:rPr>
                <w:rFonts w:ascii="Avenir Next LT Pro" w:hAnsi="Avenir Next LT Pro"/>
                <w:sz w:val="20"/>
                <w:szCs w:val="20"/>
              </w:rPr>
              <w:t xml:space="preserve"> individual is hired in a new job as a result of AmeriCorps-supported services provided; individual may have been previously working in a different job or previously unemployed</w:t>
            </w:r>
          </w:p>
        </w:tc>
      </w:tr>
      <w:tr w:rsidR="0041126D" w:rsidRPr="004D40EA" w14:paraId="51EA9653" w14:textId="77777777">
        <w:trPr>
          <w:trHeight w:val="764"/>
        </w:trPr>
        <w:tc>
          <w:tcPr>
            <w:tcW w:w="1728" w:type="dxa"/>
            <w:shd w:val="clear" w:color="auto" w:fill="auto"/>
          </w:tcPr>
          <w:p w14:paraId="335CB134"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46" w:type="dxa"/>
            <w:shd w:val="clear" w:color="auto" w:fill="auto"/>
          </w:tcPr>
          <w:p w14:paraId="0606E77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Preferred method is a copy of acceptance letter from employer or copy of first pay stub.  Beneficiary self-reports may also be utilized.</w:t>
            </w:r>
          </w:p>
        </w:tc>
      </w:tr>
    </w:tbl>
    <w:p w14:paraId="2F95BCAE" w14:textId="77777777" w:rsidR="0041126D" w:rsidRPr="004D40EA" w:rsidRDefault="0041126D" w:rsidP="0041126D">
      <w:pPr>
        <w:spacing w:after="0" w:line="240" w:lineRule="auto"/>
        <w:contextualSpacing/>
        <w:rPr>
          <w:rFonts w:ascii="Avenir Next LT Pro" w:hAnsi="Avenir Next LT Pro"/>
          <w:highlight w:val="lightGray"/>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14AF44F2" w14:textId="77777777">
        <w:trPr>
          <w:trHeight w:val="278"/>
        </w:trPr>
        <w:tc>
          <w:tcPr>
            <w:tcW w:w="1728" w:type="dxa"/>
            <w:shd w:val="clear" w:color="auto" w:fill="auto"/>
          </w:tcPr>
          <w:p w14:paraId="1E74207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highlight w:val="lightGray"/>
              </w:rPr>
              <w:br/>
            </w:r>
            <w:bookmarkStart w:id="17" w:name="O11"/>
            <w:r w:rsidRPr="004D40EA">
              <w:rPr>
                <w:rFonts w:ascii="Avenir Next LT Pro" w:hAnsi="Avenir Next LT Pro"/>
                <w:b/>
                <w:sz w:val="20"/>
                <w:szCs w:val="20"/>
              </w:rPr>
              <w:t>O11</w:t>
            </w:r>
            <w:bookmarkEnd w:id="17"/>
            <w:r w:rsidRPr="004D40EA">
              <w:rPr>
                <w:rFonts w:ascii="Avenir Next LT Pro" w:hAnsi="Avenir Next LT Pro"/>
                <w:b/>
                <w:sz w:val="20"/>
                <w:szCs w:val="20"/>
              </w:rPr>
              <w:t xml:space="preserve"> (outcome)</w:t>
            </w:r>
          </w:p>
        </w:tc>
        <w:tc>
          <w:tcPr>
            <w:tcW w:w="7632" w:type="dxa"/>
            <w:shd w:val="clear" w:color="auto" w:fill="auto"/>
          </w:tcPr>
          <w:p w14:paraId="680EA3D0" w14:textId="77777777" w:rsidR="0041126D" w:rsidRPr="004D40EA" w:rsidRDefault="0041126D">
            <w:pPr>
              <w:spacing w:after="0" w:line="240" w:lineRule="auto"/>
              <w:contextualSpacing/>
              <w:rPr>
                <w:rFonts w:ascii="Avenir Next LT Pro" w:hAnsi="Avenir Next LT Pro"/>
                <w:color w:val="10100C"/>
                <w:sz w:val="20"/>
                <w:szCs w:val="20"/>
              </w:rPr>
            </w:pPr>
            <w:r w:rsidRPr="004D40EA">
              <w:rPr>
                <w:rFonts w:ascii="Avenir Next LT Pro" w:eastAsia="ヒラギノ角ゴ Pro W3" w:hAnsi="Avenir Next LT Pro"/>
                <w:color w:val="000000"/>
                <w:sz w:val="20"/>
                <w:szCs w:val="20"/>
              </w:rPr>
              <w:t>Number of individuals transitioned into safe, healthy, affordable housing</w:t>
            </w:r>
          </w:p>
        </w:tc>
      </w:tr>
      <w:tr w:rsidR="0041126D" w:rsidRPr="004D40EA" w14:paraId="39AA98BA" w14:textId="77777777">
        <w:trPr>
          <w:trHeight w:val="1097"/>
        </w:trPr>
        <w:tc>
          <w:tcPr>
            <w:tcW w:w="1728" w:type="dxa"/>
            <w:shd w:val="clear" w:color="auto" w:fill="auto"/>
          </w:tcPr>
          <w:p w14:paraId="22F4BE5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shd w:val="clear" w:color="auto" w:fill="auto"/>
          </w:tcPr>
          <w:p w14:paraId="22372C4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Individuals:</w:t>
            </w:r>
            <w:r w:rsidRPr="004D40EA">
              <w:rPr>
                <w:rFonts w:ascii="Avenir Next LT Pro" w:eastAsia="ヒラギノ角ゴ Pro W3" w:hAnsi="Avenir Next LT Pro"/>
                <w:color w:val="000000"/>
                <w:sz w:val="20"/>
                <w:szCs w:val="20"/>
              </w:rPr>
              <w:t xml:space="preserve"> those reported in measure O1A</w:t>
            </w:r>
            <w:r w:rsidRPr="004D40EA">
              <w:rPr>
                <w:rFonts w:ascii="Avenir Next LT Pro" w:hAnsi="Avenir Next LT Pro"/>
                <w:sz w:val="20"/>
                <w:szCs w:val="20"/>
              </w:rPr>
              <w:t>, V1, V7A, or V8</w:t>
            </w:r>
            <w:r w:rsidRPr="004D40EA">
              <w:rPr>
                <w:rFonts w:ascii="Avenir Next LT Pro" w:eastAsia="ヒラギノ角ゴ Pro W3" w:hAnsi="Avenir Next LT Pro"/>
                <w:color w:val="000000"/>
                <w:sz w:val="20"/>
                <w:szCs w:val="20"/>
              </w:rPr>
              <w:br/>
            </w:r>
            <w:r w:rsidRPr="004D40EA">
              <w:rPr>
                <w:rFonts w:ascii="Avenir Next LT Pro" w:eastAsia="ヒラギノ角ゴ Pro W3" w:hAnsi="Avenir Next LT Pro"/>
                <w:b/>
                <w:color w:val="000000"/>
                <w:sz w:val="20"/>
                <w:szCs w:val="20"/>
              </w:rPr>
              <w:t>Safe, healthy, affordable housing:</w:t>
            </w:r>
            <w:r w:rsidRPr="004D40EA">
              <w:rPr>
                <w:rFonts w:ascii="Avenir Next LT Pro" w:eastAsia="ヒラギノ角ゴ Pro W3" w:hAnsi="Avenir Next LT Pro"/>
                <w:color w:val="000000"/>
                <w:sz w:val="20"/>
                <w:szCs w:val="20"/>
              </w:rPr>
              <w:t xml:space="preserve"> Grantee certifies that the housing is safe and healthy based on an inspection or other documentation. Grantee defines affordability and certifies that the housing is affordable to the individual(s) transitioned into the unit.</w:t>
            </w:r>
          </w:p>
        </w:tc>
      </w:tr>
      <w:tr w:rsidR="0041126D" w:rsidRPr="004D40EA" w14:paraId="56C42FE9" w14:textId="77777777">
        <w:trPr>
          <w:trHeight w:val="593"/>
        </w:trPr>
        <w:tc>
          <w:tcPr>
            <w:tcW w:w="1728" w:type="dxa"/>
            <w:shd w:val="clear" w:color="auto" w:fill="auto"/>
          </w:tcPr>
          <w:p w14:paraId="60B1F7D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How to Measure/</w:t>
            </w:r>
            <w:r w:rsidRPr="004D40EA">
              <w:rPr>
                <w:rFonts w:ascii="Avenir Next LT Pro" w:eastAsia="ヒラギノ角ゴ Pro W3" w:hAnsi="Avenir Next LT Pro"/>
                <w:b/>
                <w:color w:val="000000"/>
                <w:sz w:val="20"/>
                <w:szCs w:val="20"/>
              </w:rPr>
              <w:br/>
              <w:t>Collect Data</w:t>
            </w:r>
          </w:p>
        </w:tc>
        <w:tc>
          <w:tcPr>
            <w:tcW w:w="7632" w:type="dxa"/>
            <w:shd w:val="clear" w:color="auto" w:fill="auto"/>
          </w:tcPr>
          <w:p w14:paraId="267E4FB2" w14:textId="77777777" w:rsidR="0041126D" w:rsidRPr="004D40EA" w:rsidDel="00BB0BDD"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Preferred method is a proof of residence such as a lease, mortgage, certificate of occupancy, or other verification from an external agency.  Beneficiary self-reports may also be utilized.</w:t>
            </w:r>
          </w:p>
        </w:tc>
      </w:tr>
    </w:tbl>
    <w:p w14:paraId="3F6EEC17" w14:textId="77777777" w:rsidR="0041126D" w:rsidRPr="004D40EA" w:rsidRDefault="0041126D" w:rsidP="0041126D">
      <w:pPr>
        <w:rPr>
          <w:rFonts w:ascii="Avenir Next LT Pro" w:hAnsi="Avenir Next LT Pro"/>
          <w:sz w:val="20"/>
          <w:szCs w:val="20"/>
        </w:rPr>
      </w:pPr>
      <w:r w:rsidRPr="004D40EA">
        <w:rPr>
          <w:rFonts w:ascii="Avenir Next LT Pro" w:hAnsi="Avenir Next LT Pro"/>
          <w:sz w:val="20"/>
          <w:szCs w:val="20"/>
          <w:highlight w:val="lightGray"/>
        </w:rPr>
        <w:t xml:space="preserve">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21DE78C9" w14:textId="77777777">
        <w:trPr>
          <w:trHeight w:val="314"/>
        </w:trPr>
        <w:tc>
          <w:tcPr>
            <w:tcW w:w="1728" w:type="dxa"/>
            <w:shd w:val="clear" w:color="auto" w:fill="auto"/>
          </w:tcPr>
          <w:p w14:paraId="1D63FE28"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O20 (outcome)</w:t>
            </w:r>
          </w:p>
        </w:tc>
        <w:tc>
          <w:tcPr>
            <w:tcW w:w="7646" w:type="dxa"/>
            <w:shd w:val="clear" w:color="auto" w:fill="auto"/>
          </w:tcPr>
          <w:p w14:paraId="201A092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Number of safe, healthy, affordable housing units made available</w:t>
            </w:r>
          </w:p>
        </w:tc>
      </w:tr>
      <w:tr w:rsidR="0041126D" w:rsidRPr="004D40EA" w14:paraId="60BE2DB3" w14:textId="77777777">
        <w:trPr>
          <w:trHeight w:val="1601"/>
        </w:trPr>
        <w:tc>
          <w:tcPr>
            <w:tcW w:w="1728" w:type="dxa"/>
            <w:shd w:val="clear" w:color="auto" w:fill="auto"/>
          </w:tcPr>
          <w:p w14:paraId="6ECC7967"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r w:rsidRPr="004D40EA" w:rsidDel="00A768F4">
              <w:rPr>
                <w:rFonts w:ascii="Avenir Next LT Pro" w:hAnsi="Avenir Next LT Pro"/>
                <w:b/>
                <w:sz w:val="20"/>
                <w:szCs w:val="20"/>
              </w:rPr>
              <w:t xml:space="preserve"> </w:t>
            </w:r>
          </w:p>
        </w:tc>
        <w:tc>
          <w:tcPr>
            <w:tcW w:w="7646" w:type="dxa"/>
            <w:shd w:val="clear" w:color="auto" w:fill="auto"/>
          </w:tcPr>
          <w:p w14:paraId="355A6213"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Housing unit:</w:t>
            </w:r>
            <w:r w:rsidRPr="004D40EA">
              <w:rPr>
                <w:rFonts w:ascii="Avenir Next LT Pro" w:hAnsi="Avenir Next LT Pro"/>
                <w:sz w:val="20"/>
                <w:szCs w:val="20"/>
              </w:rPr>
              <w:t xml:space="preserve">  those reported in measure </w:t>
            </w:r>
            <w:proofErr w:type="gramStart"/>
            <w:r w:rsidRPr="004D40EA">
              <w:rPr>
                <w:rFonts w:ascii="Avenir Next LT Pro" w:hAnsi="Avenir Next LT Pro"/>
                <w:sz w:val="20"/>
                <w:szCs w:val="20"/>
              </w:rPr>
              <w:t>O4</w:t>
            </w:r>
            <w:proofErr w:type="gramEnd"/>
          </w:p>
          <w:p w14:paraId="67713DE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Safe, healthy, affordable housing unit:</w:t>
            </w:r>
            <w:r w:rsidRPr="004D40EA">
              <w:rPr>
                <w:rFonts w:ascii="Avenir Next LT Pro" w:hAnsi="Avenir Next LT Pro"/>
                <w:sz w:val="20"/>
                <w:szCs w:val="20"/>
              </w:rPr>
              <w:t xml:space="preserve"> Grantee certifies that the housing unit is safe and healthy based on an inspection or other documentation. Grantee defines affordability and certifies that the housing unit is affordable.</w:t>
            </w:r>
          </w:p>
          <w:p w14:paraId="7E60C04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b/>
                <w:sz w:val="20"/>
                <w:szCs w:val="20"/>
              </w:rPr>
              <w:t>Made available:</w:t>
            </w:r>
            <w:r w:rsidRPr="004D40EA">
              <w:rPr>
                <w:rFonts w:ascii="Avenir Next LT Pro" w:hAnsi="Avenir Next LT Pro"/>
                <w:sz w:val="20"/>
                <w:szCs w:val="20"/>
              </w:rPr>
              <w:t xml:space="preserve">  This count indicates that the work has been completed to make the units </w:t>
            </w:r>
            <w:proofErr w:type="gramStart"/>
            <w:r w:rsidRPr="004D40EA">
              <w:rPr>
                <w:rFonts w:ascii="Avenir Next LT Pro" w:hAnsi="Avenir Next LT Pro"/>
                <w:sz w:val="20"/>
                <w:szCs w:val="20"/>
              </w:rPr>
              <w:t>available</w:t>
            </w:r>
            <w:proofErr w:type="gramEnd"/>
            <w:r w:rsidRPr="004D40EA">
              <w:rPr>
                <w:rFonts w:ascii="Avenir Next LT Pro" w:hAnsi="Avenir Next LT Pro"/>
                <w:sz w:val="20"/>
                <w:szCs w:val="20"/>
              </w:rPr>
              <w:t xml:space="preserve"> but they may or may not have been occupied. </w:t>
            </w:r>
          </w:p>
        </w:tc>
      </w:tr>
      <w:tr w:rsidR="0041126D" w:rsidRPr="004D40EA" w14:paraId="2BEE3378" w14:textId="77777777">
        <w:trPr>
          <w:trHeight w:val="602"/>
        </w:trPr>
        <w:tc>
          <w:tcPr>
            <w:tcW w:w="1728" w:type="dxa"/>
            <w:shd w:val="clear" w:color="auto" w:fill="auto"/>
          </w:tcPr>
          <w:p w14:paraId="7AEC233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r w:rsidRPr="004D40EA" w:rsidDel="00A768F4">
              <w:rPr>
                <w:rFonts w:ascii="Avenir Next LT Pro" w:hAnsi="Avenir Next LT Pro"/>
                <w:b/>
                <w:sz w:val="20"/>
                <w:szCs w:val="20"/>
              </w:rPr>
              <w:t xml:space="preserve"> </w:t>
            </w:r>
          </w:p>
        </w:tc>
        <w:tc>
          <w:tcPr>
            <w:tcW w:w="7646" w:type="dxa"/>
            <w:shd w:val="clear" w:color="auto" w:fill="auto"/>
          </w:tcPr>
          <w:p w14:paraId="5010B4A0"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color w:val="000000"/>
                <w:sz w:val="20"/>
                <w:szCs w:val="20"/>
              </w:rPr>
              <w:t xml:space="preserve">Tracking mechanism that ensures an unduplicated count of the number of safe, healthy, affordable housing units that have been made available </w:t>
            </w:r>
          </w:p>
        </w:tc>
      </w:tr>
    </w:tbl>
    <w:p w14:paraId="6C395829"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6B04C627" w14:textId="77777777">
        <w:trPr>
          <w:trHeight w:val="377"/>
        </w:trPr>
        <w:tc>
          <w:tcPr>
            <w:tcW w:w="1728" w:type="dxa"/>
            <w:shd w:val="clear" w:color="auto" w:fill="auto"/>
          </w:tcPr>
          <w:p w14:paraId="6EF8075D"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O21 (outcome)</w:t>
            </w:r>
          </w:p>
        </w:tc>
        <w:tc>
          <w:tcPr>
            <w:tcW w:w="7632" w:type="dxa"/>
            <w:shd w:val="clear" w:color="auto" w:fill="auto"/>
          </w:tcPr>
          <w:p w14:paraId="3C3F7F55" w14:textId="77777777" w:rsidR="0041126D" w:rsidRPr="004D40EA" w:rsidRDefault="0041126D">
            <w:pPr>
              <w:pStyle w:val="CommentText1"/>
              <w:contextualSpacing/>
              <w:rPr>
                <w:rFonts w:ascii="Avenir Next LT Pro" w:eastAsia="Times New Roman" w:hAnsi="Avenir Next LT Pro"/>
              </w:rPr>
            </w:pPr>
            <w:r w:rsidRPr="004D40EA">
              <w:rPr>
                <w:rFonts w:ascii="Avenir Next LT Pro" w:eastAsia="Times New Roman" w:hAnsi="Avenir Next LT Pro"/>
              </w:rPr>
              <w:t>Number of individuals with improved job readiness</w:t>
            </w:r>
          </w:p>
        </w:tc>
      </w:tr>
      <w:tr w:rsidR="0041126D" w:rsidRPr="004D40EA" w14:paraId="05349D2C" w14:textId="77777777">
        <w:trPr>
          <w:trHeight w:val="683"/>
        </w:trPr>
        <w:tc>
          <w:tcPr>
            <w:tcW w:w="1728" w:type="dxa"/>
            <w:shd w:val="clear" w:color="auto" w:fill="auto"/>
          </w:tcPr>
          <w:p w14:paraId="3132C40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Definition of Key Terms</w:t>
            </w:r>
          </w:p>
        </w:tc>
        <w:tc>
          <w:tcPr>
            <w:tcW w:w="7632" w:type="dxa"/>
            <w:shd w:val="clear" w:color="auto" w:fill="auto"/>
          </w:tcPr>
          <w:p w14:paraId="0397E032" w14:textId="77777777" w:rsidR="0041126D" w:rsidRPr="004D40EA" w:rsidRDefault="0041126D">
            <w:pPr>
              <w:pStyle w:val="CommentText1"/>
              <w:contextualSpacing/>
              <w:rPr>
                <w:rFonts w:ascii="Avenir Next LT Pro" w:eastAsia="Times New Roman" w:hAnsi="Avenir Next LT Pro"/>
              </w:rPr>
            </w:pPr>
            <w:r w:rsidRPr="004D40EA">
              <w:rPr>
                <w:rFonts w:ascii="Avenir Next LT Pro" w:eastAsia="Times New Roman" w:hAnsi="Avenir Next LT Pro"/>
                <w:b/>
              </w:rPr>
              <w:t>Individuals:</w:t>
            </w:r>
            <w:r w:rsidRPr="004D40EA">
              <w:rPr>
                <w:rFonts w:ascii="Avenir Next LT Pro" w:eastAsia="Times New Roman" w:hAnsi="Avenir Next LT Pro"/>
              </w:rPr>
              <w:t xml:space="preserve"> those reported in measure O1A</w:t>
            </w:r>
            <w:r w:rsidRPr="004D40EA">
              <w:rPr>
                <w:rFonts w:ascii="Avenir Next LT Pro" w:hAnsi="Avenir Next LT Pro"/>
              </w:rPr>
              <w:t>, V1, V7A, or V8</w:t>
            </w:r>
            <w:r w:rsidRPr="004D40EA">
              <w:rPr>
                <w:rFonts w:ascii="Avenir Next LT Pro" w:eastAsia="Times New Roman" w:hAnsi="Avenir Next LT Pro"/>
              </w:rPr>
              <w:br/>
            </w:r>
            <w:r w:rsidRPr="004D40EA">
              <w:rPr>
                <w:rFonts w:ascii="Avenir Next LT Pro" w:eastAsia="Times New Roman" w:hAnsi="Avenir Next LT Pro"/>
                <w:b/>
              </w:rPr>
              <w:t>Improved job readiness:</w:t>
            </w:r>
            <w:r w:rsidRPr="004D40EA">
              <w:rPr>
                <w:rFonts w:ascii="Avenir Next LT Pro" w:eastAsia="Times New Roman" w:hAnsi="Avenir Next LT Pro"/>
              </w:rPr>
              <w:t xml:space="preserve"> increased knowledge or skills related to seeking, obtaining, or successfully retaining a job.</w:t>
            </w:r>
            <w:r w:rsidRPr="004D40EA" w:rsidDel="006104B9">
              <w:rPr>
                <w:rFonts w:ascii="Avenir Next LT Pro" w:eastAsia="Times New Roman" w:hAnsi="Avenir Next LT Pro"/>
              </w:rPr>
              <w:t xml:space="preserve"> </w:t>
            </w:r>
          </w:p>
          <w:p w14:paraId="74809DDA" w14:textId="77777777" w:rsidR="0041126D" w:rsidRPr="004D40EA" w:rsidRDefault="0041126D">
            <w:pPr>
              <w:pStyle w:val="CommentText1"/>
              <w:contextualSpacing/>
              <w:rPr>
                <w:rFonts w:ascii="Avenir Next LT Pro" w:eastAsia="Times New Roman" w:hAnsi="Avenir Next LT Pro"/>
              </w:rPr>
            </w:pPr>
          </w:p>
        </w:tc>
      </w:tr>
      <w:tr w:rsidR="0041126D" w:rsidRPr="004D40EA" w14:paraId="0513BCA1" w14:textId="77777777">
        <w:trPr>
          <w:trHeight w:val="800"/>
        </w:trPr>
        <w:tc>
          <w:tcPr>
            <w:tcW w:w="1728" w:type="dxa"/>
            <w:shd w:val="clear" w:color="auto" w:fill="auto"/>
          </w:tcPr>
          <w:p w14:paraId="4E7E66E4"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Measure/</w:t>
            </w:r>
            <w:r w:rsidRPr="004D40EA">
              <w:rPr>
                <w:rFonts w:ascii="Avenir Next LT Pro" w:hAnsi="Avenir Next LT Pro"/>
                <w:b/>
                <w:sz w:val="20"/>
                <w:szCs w:val="20"/>
              </w:rPr>
              <w:br/>
              <w:t>Collect Data</w:t>
            </w:r>
          </w:p>
        </w:tc>
        <w:tc>
          <w:tcPr>
            <w:tcW w:w="7632" w:type="dxa"/>
            <w:shd w:val="clear" w:color="auto" w:fill="auto"/>
          </w:tcPr>
          <w:p w14:paraId="623E24B9" w14:textId="77777777" w:rsidR="0041126D" w:rsidRPr="004D40EA" w:rsidRDefault="0041126D">
            <w:pPr>
              <w:pStyle w:val="CommentText1"/>
              <w:contextualSpacing/>
              <w:rPr>
                <w:rFonts w:ascii="Avenir Next LT Pro" w:eastAsia="Times New Roman" w:hAnsi="Avenir Next LT Pro"/>
              </w:rPr>
            </w:pPr>
            <w:r w:rsidRPr="004D40EA">
              <w:rPr>
                <w:rFonts w:ascii="Avenir Next LT Pro" w:eastAsia="Times New Roman" w:hAnsi="Avenir Next LT Pro"/>
              </w:rPr>
              <w:t>Survey, interview, observation, or other instrument capable of measuring changes in job readiness at the individual beneficiary level.  When possible, pre-post assessments should be utilized.</w:t>
            </w:r>
          </w:p>
        </w:tc>
      </w:tr>
    </w:tbl>
    <w:p w14:paraId="613823C9" w14:textId="77777777" w:rsidR="0041126D" w:rsidRPr="004D40EA" w:rsidRDefault="0041126D" w:rsidP="0041126D">
      <w:pPr>
        <w:pStyle w:val="Style2"/>
        <w:rPr>
          <w:rFonts w:ascii="Avenir Next LT Pro" w:eastAsia="ヒラギノ角ゴ Pro W3" w:hAnsi="Avenir Next LT Pro"/>
        </w:rPr>
      </w:pPr>
      <w:r w:rsidRPr="004D40EA">
        <w:rPr>
          <w:rFonts w:ascii="Avenir Next LT Pro" w:hAnsi="Avenir Next LT Pro"/>
        </w:rPr>
        <w:br w:type="page"/>
      </w:r>
      <w:bookmarkStart w:id="18" w:name="_Toc518377553"/>
      <w:bookmarkStart w:id="19" w:name="_Toc302477355"/>
      <w:r w:rsidRPr="004D40EA">
        <w:rPr>
          <w:rStyle w:val="Strong1"/>
          <w:rFonts w:ascii="Avenir Next LT Pro" w:hAnsi="Avenir Next LT Pro"/>
        </w:rPr>
        <w:lastRenderedPageBreak/>
        <w:t>EDUCATION</w:t>
      </w:r>
      <w:bookmarkEnd w:id="18"/>
      <w:r w:rsidRPr="004D40EA">
        <w:rPr>
          <w:rStyle w:val="Strong1"/>
          <w:rFonts w:ascii="Avenir Next LT Pro" w:hAnsi="Avenir Next LT Pro"/>
        </w:rPr>
        <w:br/>
      </w:r>
    </w:p>
    <w:p w14:paraId="41C1B1CF"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Focus Area Notes </w:t>
      </w:r>
    </w:p>
    <w:p w14:paraId="3ECF193B"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Education performance measures if the measures reflect significant program activities aligned with the applicant’s core theory of change.  </w:t>
      </w:r>
    </w:p>
    <w:p w14:paraId="2A07CDC4"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All individuals counted under these measures must be program beneficiaries, not National Service Participants.  National Service Participant outputs and outcomes should be reported in the Performance Data Elements in annual Progress Reports.</w:t>
      </w:r>
    </w:p>
    <w:p w14:paraId="086DB02C"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Activities associated with these measures must be carried out by National Service Participants or by volunteers directly recruited and/or supported by National Service Participants.</w:t>
      </w:r>
      <w:r w:rsidRPr="004D40EA">
        <w:rPr>
          <w:rFonts w:ascii="Avenir Next LT Pro" w:hAnsi="Avenir Next LT Pro"/>
          <w:sz w:val="20"/>
          <w:szCs w:val="20"/>
        </w:rPr>
        <w:br/>
      </w:r>
      <w:r w:rsidRPr="004D40EA">
        <w:rPr>
          <w:rFonts w:ascii="Avenir Next LT Pro" w:hAnsi="Avenir Next LT Pro"/>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240778BF" w14:textId="77777777">
        <w:trPr>
          <w:trHeight w:val="305"/>
        </w:trPr>
        <w:tc>
          <w:tcPr>
            <w:tcW w:w="1728" w:type="dxa"/>
            <w:shd w:val="clear" w:color="auto" w:fill="auto"/>
          </w:tcPr>
          <w:p w14:paraId="730C44E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ED1A (output)</w:t>
            </w:r>
          </w:p>
        </w:tc>
        <w:tc>
          <w:tcPr>
            <w:tcW w:w="7632" w:type="dxa"/>
            <w:shd w:val="clear" w:color="auto" w:fill="auto"/>
          </w:tcPr>
          <w:p w14:paraId="38BC1F3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served</w:t>
            </w:r>
          </w:p>
        </w:tc>
      </w:tr>
      <w:tr w:rsidR="0041126D" w:rsidRPr="004D40EA" w14:paraId="58D94A3B" w14:textId="77777777">
        <w:trPr>
          <w:trHeight w:val="719"/>
        </w:trPr>
        <w:tc>
          <w:tcPr>
            <w:tcW w:w="1728" w:type="dxa"/>
            <w:shd w:val="clear" w:color="auto" w:fill="auto"/>
          </w:tcPr>
          <w:p w14:paraId="4DB00E7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shd w:val="clear" w:color="auto" w:fill="auto"/>
          </w:tcPr>
          <w:p w14:paraId="7627548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recipients of AmeriCorps-supported services related to education; may include students enrolled in grades K-12, out-of-school youth, preschool age children, and/or individuals pursuing postsecondary education</w:t>
            </w:r>
          </w:p>
          <w:p w14:paraId="5DE2977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lang w:val="en"/>
              </w:rPr>
              <w:t>Served:</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education-related goal in mind.  Cannot consist solely of mass dissemination of information such as email blasts, social media posts, or distributing pamphlets.</w:t>
            </w:r>
          </w:p>
        </w:tc>
      </w:tr>
      <w:tr w:rsidR="0041126D" w:rsidRPr="004D40EA" w14:paraId="1C6E7F03" w14:textId="77777777">
        <w:trPr>
          <w:trHeight w:val="458"/>
        </w:trPr>
        <w:tc>
          <w:tcPr>
            <w:tcW w:w="1728" w:type="dxa"/>
            <w:shd w:val="clear" w:color="auto" w:fill="auto"/>
          </w:tcPr>
          <w:p w14:paraId="2301946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0EA6D42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32" w:type="dxa"/>
            <w:shd w:val="clear" w:color="auto" w:fill="auto"/>
          </w:tcPr>
          <w:p w14:paraId="31261132" w14:textId="77777777" w:rsidR="0041126D" w:rsidRPr="004D40EA" w:rsidRDefault="0041126D">
            <w:pPr>
              <w:tabs>
                <w:tab w:val="left" w:pos="1080"/>
              </w:tabs>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560B5361" w14:textId="77777777" w:rsidR="0041126D" w:rsidRPr="004D40EA" w:rsidRDefault="0041126D" w:rsidP="0041126D">
      <w:pPr>
        <w:spacing w:after="0" w:line="240" w:lineRule="auto"/>
        <w:contextualSpacing/>
        <w:rPr>
          <w:rStyle w:val="Strong1"/>
          <w:rFonts w:ascii="Avenir Next LT Pro" w:hAnsi="Avenir Next LT Pro"/>
          <w:szCs w:val="20"/>
        </w:rPr>
      </w:pPr>
      <w:r w:rsidRPr="004D40EA">
        <w:rPr>
          <w:rStyle w:val="Strong1"/>
          <w:rFonts w:ascii="Avenir Next LT Pro" w:hAnsi="Avenir Next LT Pro"/>
          <w:szCs w:val="20"/>
        </w:rPr>
        <w:br/>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50"/>
      </w:tblGrid>
      <w:tr w:rsidR="0041126D" w:rsidRPr="004D40EA" w14:paraId="746EFDFE" w14:textId="77777777">
        <w:trPr>
          <w:trHeight w:val="269"/>
        </w:trPr>
        <w:tc>
          <w:tcPr>
            <w:tcW w:w="1728" w:type="dxa"/>
            <w:shd w:val="clear" w:color="auto" w:fill="auto"/>
          </w:tcPr>
          <w:p w14:paraId="0B8AA06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ED5A (outcome)</w:t>
            </w:r>
          </w:p>
        </w:tc>
        <w:tc>
          <w:tcPr>
            <w:tcW w:w="7650" w:type="dxa"/>
            <w:shd w:val="clear" w:color="auto" w:fill="auto"/>
          </w:tcPr>
          <w:p w14:paraId="60388C6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with improved academic performance</w:t>
            </w:r>
          </w:p>
        </w:tc>
      </w:tr>
      <w:tr w:rsidR="0041126D" w:rsidRPr="004D40EA" w14:paraId="2BA34603" w14:textId="77777777">
        <w:trPr>
          <w:trHeight w:val="483"/>
        </w:trPr>
        <w:tc>
          <w:tcPr>
            <w:tcW w:w="1728" w:type="dxa"/>
            <w:shd w:val="clear" w:color="auto" w:fill="auto"/>
          </w:tcPr>
          <w:p w14:paraId="6112EA6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50" w:type="dxa"/>
            <w:shd w:val="clear" w:color="auto" w:fill="auto"/>
          </w:tcPr>
          <w:p w14:paraId="2DB7C92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Students: </w:t>
            </w:r>
            <w:r w:rsidRPr="004D40EA">
              <w:rPr>
                <w:rFonts w:ascii="Avenir Next LT Pro" w:eastAsia="ヒラギノ角ゴ Pro W3" w:hAnsi="Avenir Next LT Pro"/>
                <w:color w:val="000000"/>
                <w:sz w:val="20"/>
                <w:szCs w:val="20"/>
              </w:rPr>
              <w:t>those reported in ED1A</w:t>
            </w:r>
          </w:p>
          <w:p w14:paraId="7EAC1B6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Improved academic performance:  </w:t>
            </w:r>
            <w:r w:rsidRPr="004D40EA">
              <w:rPr>
                <w:rFonts w:ascii="Avenir Next LT Pro" w:eastAsia="ヒラギノ角ゴ Pro W3" w:hAnsi="Avenir Next LT Pro"/>
                <w:color w:val="000000"/>
                <w:sz w:val="20"/>
                <w:szCs w:val="20"/>
              </w:rPr>
              <w:t xml:space="preserve">an improved demonstration of skill or knowledge in one or more academic subjects </w:t>
            </w:r>
          </w:p>
        </w:tc>
      </w:tr>
      <w:tr w:rsidR="0041126D" w:rsidRPr="004D40EA" w14:paraId="7CA25574" w14:textId="77777777">
        <w:trPr>
          <w:trHeight w:val="483"/>
        </w:trPr>
        <w:tc>
          <w:tcPr>
            <w:tcW w:w="1728" w:type="dxa"/>
            <w:shd w:val="clear" w:color="auto" w:fill="auto"/>
          </w:tcPr>
          <w:p w14:paraId="31C1989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6B08895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50" w:type="dxa"/>
            <w:shd w:val="clear" w:color="auto" w:fill="auto"/>
          </w:tcPr>
          <w:p w14:paraId="418A95D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Standardized test, report card grade, or other instrument capable of measuring changes in academic performance at the individual beneficiary level.  When possible, pre-post assessments should be utilized.</w:t>
            </w:r>
          </w:p>
        </w:tc>
      </w:tr>
    </w:tbl>
    <w:p w14:paraId="7AB53DDF" w14:textId="77777777" w:rsidR="0041126D" w:rsidRPr="004D40EA" w:rsidRDefault="0041126D" w:rsidP="0041126D">
      <w:pPr>
        <w:spacing w:after="0" w:line="240" w:lineRule="auto"/>
        <w:contextualSpacing/>
        <w:rPr>
          <w:rStyle w:val="Strong1"/>
          <w:rFonts w:ascii="Avenir Next LT Pro" w:hAnsi="Avenir Next LT Pro"/>
          <w:szCs w:val="20"/>
        </w:rPr>
      </w:pPr>
      <w:r w:rsidRPr="004D40EA">
        <w:rPr>
          <w:rStyle w:val="Strong1"/>
          <w:rFonts w:ascii="Avenir Next LT Pro" w:hAnsi="Avenir Next LT Pro"/>
          <w:szCs w:val="20"/>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65A9212B" w14:textId="77777777">
        <w:trPr>
          <w:trHeight w:val="125"/>
        </w:trPr>
        <w:tc>
          <w:tcPr>
            <w:tcW w:w="1728" w:type="dxa"/>
            <w:shd w:val="clear" w:color="auto" w:fill="auto"/>
          </w:tcPr>
          <w:p w14:paraId="1613823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ED6 (outcome)</w:t>
            </w:r>
          </w:p>
        </w:tc>
        <w:tc>
          <w:tcPr>
            <w:tcW w:w="7632" w:type="dxa"/>
            <w:shd w:val="clear" w:color="auto" w:fill="auto"/>
          </w:tcPr>
          <w:p w14:paraId="0577F2C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with increased school attendance</w:t>
            </w:r>
          </w:p>
        </w:tc>
      </w:tr>
      <w:tr w:rsidR="0041126D" w:rsidRPr="004D40EA" w14:paraId="0978ADC0" w14:textId="77777777">
        <w:trPr>
          <w:trHeight w:val="827"/>
        </w:trPr>
        <w:tc>
          <w:tcPr>
            <w:tcW w:w="1728" w:type="dxa"/>
            <w:shd w:val="clear" w:color="auto" w:fill="auto"/>
          </w:tcPr>
          <w:p w14:paraId="246A51E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shd w:val="clear" w:color="auto" w:fill="auto"/>
          </w:tcPr>
          <w:p w14:paraId="1DD4D83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xml:space="preserve"> those reported in ED1A</w:t>
            </w:r>
            <w:r w:rsidRPr="004D40EA">
              <w:rPr>
                <w:rFonts w:ascii="Avenir Next LT Pro" w:eastAsia="ヒラギノ角ゴ Pro W3" w:hAnsi="Avenir Next LT Pro"/>
                <w:color w:val="000000"/>
                <w:sz w:val="20"/>
                <w:szCs w:val="20"/>
              </w:rPr>
              <w:br/>
            </w:r>
            <w:r w:rsidRPr="004D40EA">
              <w:rPr>
                <w:rFonts w:ascii="Avenir Next LT Pro" w:eastAsia="ヒラギノ角ゴ Pro W3" w:hAnsi="Avenir Next LT Pro"/>
                <w:b/>
                <w:color w:val="000000"/>
                <w:sz w:val="20"/>
                <w:szCs w:val="20"/>
              </w:rPr>
              <w:t>Increased school attendance:</w:t>
            </w:r>
            <w:r w:rsidRPr="004D40EA">
              <w:rPr>
                <w:rFonts w:ascii="Avenir Next LT Pro" w:eastAsia="ヒラギノ角ゴ Pro W3" w:hAnsi="Avenir Next LT Pro"/>
                <w:color w:val="000000"/>
                <w:sz w:val="20"/>
                <w:szCs w:val="20"/>
              </w:rPr>
              <w:t xml:space="preserve">  higher rate of presence and/or on-time arrival at school as compared to a previous comparable time period</w:t>
            </w:r>
          </w:p>
        </w:tc>
      </w:tr>
      <w:tr w:rsidR="0041126D" w:rsidRPr="004D40EA" w14:paraId="7980A088" w14:textId="77777777">
        <w:trPr>
          <w:trHeight w:val="521"/>
        </w:trPr>
        <w:tc>
          <w:tcPr>
            <w:tcW w:w="1728" w:type="dxa"/>
            <w:shd w:val="clear" w:color="auto" w:fill="auto"/>
          </w:tcPr>
          <w:p w14:paraId="75AE4F7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How to Measure/</w:t>
            </w:r>
            <w:r w:rsidRPr="004D40EA">
              <w:rPr>
                <w:rFonts w:ascii="Avenir Next LT Pro" w:eastAsia="ヒラギノ角ゴ Pro W3" w:hAnsi="Avenir Next LT Pro"/>
                <w:b/>
                <w:color w:val="000000"/>
                <w:sz w:val="20"/>
                <w:szCs w:val="20"/>
              </w:rPr>
              <w:br/>
              <w:t>Collect Data</w:t>
            </w:r>
          </w:p>
        </w:tc>
        <w:tc>
          <w:tcPr>
            <w:tcW w:w="7632" w:type="dxa"/>
            <w:shd w:val="clear" w:color="auto" w:fill="auto"/>
          </w:tcPr>
          <w:p w14:paraId="3B2AF18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School/district/classroom attendance records or other instrument capable of measuring changes in attendance at the individual beneficiary level</w:t>
            </w:r>
          </w:p>
        </w:tc>
      </w:tr>
    </w:tbl>
    <w:p w14:paraId="569B6F1A" w14:textId="77777777" w:rsidR="0041126D" w:rsidRPr="004D40EA" w:rsidRDefault="0041126D" w:rsidP="0041126D">
      <w:pPr>
        <w:spacing w:after="0" w:line="240" w:lineRule="auto"/>
        <w:contextualSpacing/>
        <w:rPr>
          <w:rStyle w:val="Strong1"/>
          <w:rFonts w:ascii="Avenir Next LT Pro" w:hAnsi="Avenir Next LT Pro"/>
          <w:szCs w:val="20"/>
        </w:rPr>
      </w:pPr>
      <w:r w:rsidRPr="004D40EA">
        <w:rPr>
          <w:rStyle w:val="Strong1"/>
          <w:rFonts w:ascii="Avenir Next LT Pro" w:hAnsi="Avenir Next LT Pro"/>
          <w:szCs w:val="20"/>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41126D" w:rsidRPr="004D40EA" w14:paraId="796B418F" w14:textId="77777777">
        <w:trPr>
          <w:trHeight w:val="483"/>
        </w:trPr>
        <w:tc>
          <w:tcPr>
            <w:tcW w:w="1728" w:type="dxa"/>
            <w:shd w:val="clear" w:color="auto" w:fill="auto"/>
          </w:tcPr>
          <w:p w14:paraId="24020F4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ED7A (outcome)</w:t>
            </w:r>
          </w:p>
        </w:tc>
        <w:tc>
          <w:tcPr>
            <w:tcW w:w="7632" w:type="dxa"/>
            <w:shd w:val="clear" w:color="auto" w:fill="auto"/>
          </w:tcPr>
          <w:p w14:paraId="7E11515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with decreased disciplinary incidents (referrals, suspensions/expulsions, criminal or gang involvement)</w:t>
            </w:r>
          </w:p>
        </w:tc>
      </w:tr>
      <w:tr w:rsidR="0041126D" w:rsidRPr="004D40EA" w14:paraId="4DA15417" w14:textId="77777777">
        <w:trPr>
          <w:trHeight w:val="480"/>
        </w:trPr>
        <w:tc>
          <w:tcPr>
            <w:tcW w:w="1728" w:type="dxa"/>
            <w:shd w:val="clear" w:color="auto" w:fill="auto"/>
          </w:tcPr>
          <w:p w14:paraId="22BF16F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shd w:val="clear" w:color="auto" w:fill="auto"/>
          </w:tcPr>
          <w:p w14:paraId="17E1D47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xml:space="preserve"> those reported in ED1A</w:t>
            </w:r>
            <w:r w:rsidRPr="004D40EA">
              <w:rPr>
                <w:rFonts w:ascii="Avenir Next LT Pro" w:eastAsia="ヒラギノ角ゴ Pro W3" w:hAnsi="Avenir Next LT Pro"/>
                <w:color w:val="000000"/>
                <w:sz w:val="20"/>
                <w:szCs w:val="20"/>
              </w:rPr>
              <w:br/>
            </w:r>
            <w:r w:rsidRPr="004D40EA">
              <w:rPr>
                <w:rFonts w:ascii="Avenir Next LT Pro" w:eastAsia="ヒラギノ角ゴ Pro W3" w:hAnsi="Avenir Next LT Pro"/>
                <w:b/>
                <w:color w:val="000000"/>
                <w:sz w:val="20"/>
                <w:szCs w:val="20"/>
              </w:rPr>
              <w:t>Decreased disciplinary incidents:</w:t>
            </w:r>
            <w:r w:rsidRPr="004D40EA">
              <w:rPr>
                <w:rFonts w:ascii="Avenir Next LT Pro" w:eastAsia="ヒラギノ角ゴ Pro W3" w:hAnsi="Avenir Next LT Pro"/>
                <w:color w:val="000000"/>
                <w:sz w:val="20"/>
                <w:szCs w:val="20"/>
              </w:rPr>
              <w:t xml:space="preserve">  lower rate of incidents as compared to a previous comparable time period</w:t>
            </w:r>
          </w:p>
        </w:tc>
      </w:tr>
      <w:tr w:rsidR="0041126D" w:rsidRPr="004D40EA" w14:paraId="05AA0EB3" w14:textId="77777777">
        <w:trPr>
          <w:trHeight w:val="485"/>
        </w:trPr>
        <w:tc>
          <w:tcPr>
            <w:tcW w:w="1728" w:type="dxa"/>
            <w:shd w:val="clear" w:color="auto" w:fill="auto"/>
          </w:tcPr>
          <w:p w14:paraId="4123D54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How to Measure/</w:t>
            </w:r>
            <w:r w:rsidRPr="004D40EA">
              <w:rPr>
                <w:rFonts w:ascii="Avenir Next LT Pro" w:eastAsia="ヒラギノ角ゴ Pro W3" w:hAnsi="Avenir Next LT Pro"/>
                <w:b/>
                <w:color w:val="000000"/>
                <w:sz w:val="20"/>
                <w:szCs w:val="20"/>
              </w:rPr>
              <w:br/>
              <w:t>Collect Data</w:t>
            </w:r>
          </w:p>
        </w:tc>
        <w:tc>
          <w:tcPr>
            <w:tcW w:w="7632" w:type="dxa"/>
            <w:shd w:val="clear" w:color="auto" w:fill="auto"/>
          </w:tcPr>
          <w:p w14:paraId="16BA570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School/district/classroom records, police records, or other instrument capable of measuring changes in disciplinary incidents at the individual beneficiary level</w:t>
            </w:r>
          </w:p>
        </w:tc>
      </w:tr>
    </w:tbl>
    <w:p w14:paraId="6802AA5D" w14:textId="77777777" w:rsidR="0041126D" w:rsidRPr="004D40EA" w:rsidRDefault="0041126D" w:rsidP="0041126D">
      <w:pPr>
        <w:rPr>
          <w:rStyle w:val="Strong1"/>
          <w:rFonts w:ascii="Avenir Next LT Pro" w:hAnsi="Avenir Next LT Pro"/>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542"/>
      </w:tblGrid>
      <w:tr w:rsidR="0041126D" w:rsidRPr="004D40EA" w14:paraId="54F807A1" w14:textId="77777777">
        <w:trPr>
          <w:trHeight w:val="278"/>
        </w:trPr>
        <w:tc>
          <w:tcPr>
            <w:tcW w:w="1818" w:type="dxa"/>
            <w:shd w:val="clear" w:color="auto" w:fill="auto"/>
          </w:tcPr>
          <w:p w14:paraId="494E9A9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ED9 (outcome)</w:t>
            </w:r>
          </w:p>
        </w:tc>
        <w:tc>
          <w:tcPr>
            <w:tcW w:w="7542" w:type="dxa"/>
            <w:shd w:val="clear" w:color="auto" w:fill="auto"/>
          </w:tcPr>
          <w:p w14:paraId="678E30E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graduating from high school on time with a diploma</w:t>
            </w:r>
          </w:p>
        </w:tc>
      </w:tr>
      <w:tr w:rsidR="0041126D" w:rsidRPr="004D40EA" w14:paraId="5846C9C3" w14:textId="77777777">
        <w:trPr>
          <w:trHeight w:val="480"/>
        </w:trPr>
        <w:tc>
          <w:tcPr>
            <w:tcW w:w="1818" w:type="dxa"/>
            <w:shd w:val="clear" w:color="auto" w:fill="auto"/>
          </w:tcPr>
          <w:p w14:paraId="4A499E4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542" w:type="dxa"/>
            <w:shd w:val="clear" w:color="auto" w:fill="auto"/>
          </w:tcPr>
          <w:p w14:paraId="0549EE2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xml:space="preserve"> those reported in ED1A</w:t>
            </w:r>
          </w:p>
          <w:p w14:paraId="0040FD6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On Time: </w:t>
            </w:r>
            <w:r w:rsidRPr="004D40EA">
              <w:rPr>
                <w:rFonts w:ascii="Avenir Next LT Pro" w:eastAsia="ヒラギノ角ゴ Pro W3" w:hAnsi="Avenir Next LT Pro"/>
                <w:color w:val="000000"/>
                <w:sz w:val="20"/>
                <w:szCs w:val="20"/>
              </w:rPr>
              <w:t>Within four years of starting 9th grade</w:t>
            </w:r>
          </w:p>
        </w:tc>
      </w:tr>
      <w:tr w:rsidR="0041126D" w:rsidRPr="004D40EA" w14:paraId="185063B3" w14:textId="77777777">
        <w:trPr>
          <w:trHeight w:val="557"/>
        </w:trPr>
        <w:tc>
          <w:tcPr>
            <w:tcW w:w="1818" w:type="dxa"/>
            <w:shd w:val="clear" w:color="auto" w:fill="auto"/>
          </w:tcPr>
          <w:p w14:paraId="2EB71A28"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41732A0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542" w:type="dxa"/>
            <w:shd w:val="clear" w:color="auto" w:fill="auto"/>
          </w:tcPr>
          <w:p w14:paraId="7A1F280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Preferred method is school/district graduation records for student beneficiaries.  Beneficiary self-reports may also be utilized.</w:t>
            </w:r>
          </w:p>
        </w:tc>
      </w:tr>
      <w:bookmarkEnd w:id="19"/>
    </w:tbl>
    <w:p w14:paraId="5F0D8FEF"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650"/>
      </w:tblGrid>
      <w:tr w:rsidR="0041126D" w:rsidRPr="004D40EA" w14:paraId="64258900" w14:textId="77777777">
        <w:trPr>
          <w:trHeight w:val="296"/>
        </w:trPr>
        <w:tc>
          <w:tcPr>
            <w:tcW w:w="1818" w:type="dxa"/>
            <w:shd w:val="clear" w:color="auto" w:fill="auto"/>
          </w:tcPr>
          <w:p w14:paraId="2657AFB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color w:val="000000"/>
                <w:sz w:val="20"/>
                <w:szCs w:val="20"/>
              </w:rPr>
              <w:br/>
            </w:r>
            <w:r w:rsidRPr="004D40EA">
              <w:rPr>
                <w:rFonts w:ascii="Avenir Next LT Pro" w:eastAsia="ヒラギノ角ゴ Pro W3" w:hAnsi="Avenir Next LT Pro"/>
                <w:b/>
                <w:color w:val="000000"/>
                <w:sz w:val="20"/>
                <w:szCs w:val="20"/>
              </w:rPr>
              <w:t>ED10 (outcome)</w:t>
            </w:r>
          </w:p>
        </w:tc>
        <w:tc>
          <w:tcPr>
            <w:tcW w:w="7650" w:type="dxa"/>
            <w:shd w:val="clear" w:color="auto" w:fill="auto"/>
          </w:tcPr>
          <w:p w14:paraId="0CFD154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enrolling in post-secondary education or training</w:t>
            </w:r>
          </w:p>
        </w:tc>
      </w:tr>
      <w:tr w:rsidR="0041126D" w:rsidRPr="004D40EA" w14:paraId="41895CD2" w14:textId="77777777">
        <w:trPr>
          <w:trHeight w:val="720"/>
        </w:trPr>
        <w:tc>
          <w:tcPr>
            <w:tcW w:w="1818" w:type="dxa"/>
            <w:shd w:val="clear" w:color="auto" w:fill="auto"/>
          </w:tcPr>
          <w:p w14:paraId="0F05A0C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50" w:type="dxa"/>
            <w:shd w:val="clear" w:color="auto" w:fill="auto"/>
          </w:tcPr>
          <w:p w14:paraId="65F62C6A"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xml:space="preserve"> those reported in ED1A</w:t>
            </w:r>
          </w:p>
          <w:p w14:paraId="3012BFD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Post-secondary education or training</w:t>
            </w:r>
            <w:r w:rsidRPr="004D40EA">
              <w:rPr>
                <w:rFonts w:ascii="Avenir Next LT Pro" w:eastAsia="ヒラギノ角ゴ Pro W3" w:hAnsi="Avenir Next LT Pro"/>
                <w:color w:val="000000"/>
                <w:sz w:val="20"/>
                <w:szCs w:val="20"/>
              </w:rPr>
              <w:t xml:space="preserve"> may include two- or four-year college programs or occupational/vocational </w:t>
            </w:r>
            <w:proofErr w:type="gramStart"/>
            <w:r w:rsidRPr="004D40EA">
              <w:rPr>
                <w:rFonts w:ascii="Avenir Next LT Pro" w:eastAsia="ヒラギノ角ゴ Pro W3" w:hAnsi="Avenir Next LT Pro"/>
                <w:color w:val="000000"/>
                <w:sz w:val="20"/>
                <w:szCs w:val="20"/>
              </w:rPr>
              <w:t>programs</w:t>
            </w:r>
            <w:proofErr w:type="gramEnd"/>
          </w:p>
          <w:p w14:paraId="5A56731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Enrolling:</w:t>
            </w:r>
            <w:r w:rsidRPr="004D40EA">
              <w:rPr>
                <w:rFonts w:ascii="Avenir Next LT Pro" w:eastAsia="ヒラギノ角ゴ Pro W3" w:hAnsi="Avenir Next LT Pro"/>
                <w:color w:val="000000"/>
                <w:sz w:val="20"/>
                <w:szCs w:val="20"/>
              </w:rPr>
              <w:t xml:space="preserve"> means matriculating as a full-time or part-time student</w:t>
            </w:r>
          </w:p>
        </w:tc>
      </w:tr>
      <w:tr w:rsidR="0041126D" w:rsidRPr="004D40EA" w14:paraId="59C76862" w14:textId="77777777">
        <w:trPr>
          <w:trHeight w:val="485"/>
        </w:trPr>
        <w:tc>
          <w:tcPr>
            <w:tcW w:w="1818" w:type="dxa"/>
            <w:shd w:val="clear" w:color="auto" w:fill="auto"/>
          </w:tcPr>
          <w:p w14:paraId="4DBAB19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0E3CBF4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50" w:type="dxa"/>
            <w:shd w:val="clear" w:color="auto" w:fill="auto"/>
          </w:tcPr>
          <w:p w14:paraId="4B821E0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Preferred method is registration records that confirm student enrollments.  Beneficiary self-reports may also be utilized.  </w:t>
            </w:r>
          </w:p>
        </w:tc>
      </w:tr>
    </w:tbl>
    <w:p w14:paraId="51FC5004"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650"/>
      </w:tblGrid>
      <w:tr w:rsidR="0041126D" w:rsidRPr="004D40EA" w14:paraId="3D3426F5" w14:textId="77777777" w:rsidTr="5779A35C">
        <w:trPr>
          <w:trHeight w:val="330"/>
        </w:trPr>
        <w:tc>
          <w:tcPr>
            <w:tcW w:w="1818" w:type="dxa"/>
            <w:shd w:val="clear" w:color="auto" w:fill="auto"/>
          </w:tcPr>
          <w:p w14:paraId="5796902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ED11 (outcome)</w:t>
            </w:r>
          </w:p>
        </w:tc>
        <w:tc>
          <w:tcPr>
            <w:tcW w:w="7650" w:type="dxa"/>
            <w:shd w:val="clear" w:color="auto" w:fill="auto"/>
          </w:tcPr>
          <w:p w14:paraId="46260FAD" w14:textId="16CB8C03"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5779A35C">
              <w:rPr>
                <w:rFonts w:ascii="Avenir Next LT Pro" w:eastAsia="ヒラギノ角ゴ Pro W3" w:hAnsi="Avenir Next LT Pro"/>
                <w:color w:val="000000" w:themeColor="text1"/>
                <w:sz w:val="20"/>
                <w:szCs w:val="20"/>
              </w:rPr>
              <w:t>Number of students earning a post-secondary degree</w:t>
            </w:r>
            <w:r w:rsidR="22F61FEF" w:rsidRPr="5779A35C">
              <w:rPr>
                <w:rFonts w:ascii="Avenir Next LT Pro" w:eastAsia="ヒラギノ角ゴ Pro W3" w:hAnsi="Avenir Next LT Pro"/>
                <w:color w:val="000000" w:themeColor="text1"/>
                <w:sz w:val="20"/>
                <w:szCs w:val="20"/>
              </w:rPr>
              <w:t xml:space="preserve"> or technical certification</w:t>
            </w:r>
          </w:p>
        </w:tc>
      </w:tr>
      <w:tr w:rsidR="0041126D" w:rsidRPr="004D40EA" w14:paraId="301AE523" w14:textId="77777777" w:rsidTr="5779A35C">
        <w:trPr>
          <w:trHeight w:val="1232"/>
        </w:trPr>
        <w:tc>
          <w:tcPr>
            <w:tcW w:w="1818" w:type="dxa"/>
            <w:shd w:val="clear" w:color="auto" w:fill="auto"/>
          </w:tcPr>
          <w:p w14:paraId="14C746F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50" w:type="dxa"/>
            <w:shd w:val="clear" w:color="auto" w:fill="auto"/>
          </w:tcPr>
          <w:p w14:paraId="3BF95F6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Students</w:t>
            </w:r>
            <w:r w:rsidRPr="004D40EA">
              <w:rPr>
                <w:rFonts w:ascii="Avenir Next LT Pro" w:eastAsia="ヒラギノ角ゴ Pro W3" w:hAnsi="Avenir Next LT Pro"/>
                <w:color w:val="000000"/>
                <w:sz w:val="20"/>
                <w:szCs w:val="20"/>
              </w:rPr>
              <w:t>: those reported in ED1A</w:t>
            </w:r>
            <w:r w:rsidRPr="004D40EA">
              <w:rPr>
                <w:rFonts w:ascii="Avenir Next LT Pro" w:hAnsi="Avenir Next LT Pro"/>
                <w:sz w:val="20"/>
                <w:szCs w:val="20"/>
              </w:rPr>
              <w:t>, V1, V7A, or V8</w:t>
            </w:r>
          </w:p>
          <w:p w14:paraId="68CD895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5779A35C">
              <w:rPr>
                <w:rFonts w:ascii="Avenir Next LT Pro" w:eastAsia="ヒラギノ角ゴ Pro W3" w:hAnsi="Avenir Next LT Pro"/>
                <w:b/>
                <w:bCs/>
                <w:color w:val="000000" w:themeColor="text1"/>
                <w:sz w:val="20"/>
                <w:szCs w:val="20"/>
              </w:rPr>
              <w:t xml:space="preserve">Degree: </w:t>
            </w:r>
            <w:r w:rsidRPr="5779A35C">
              <w:rPr>
                <w:rFonts w:ascii="Avenir Next LT Pro" w:eastAsia="ヒラギノ角ゴ Pro W3" w:hAnsi="Avenir Next LT Pro"/>
                <w:color w:val="000000" w:themeColor="text1"/>
                <w:sz w:val="20"/>
                <w:szCs w:val="20"/>
              </w:rPr>
              <w:t>may include an associate degree from an accredited academic program or an occupational or vocational program; a bachelor’s degree (ex., BA, BS); a master’s degree (ex.: MA, MS, MEng, MEd, MSW); a professional school degree (ex.: MD, DDS, DVM); or a doctorate degree (ex.: PhD, EdD)</w:t>
            </w:r>
          </w:p>
        </w:tc>
      </w:tr>
      <w:tr w:rsidR="0041126D" w:rsidRPr="004D40EA" w14:paraId="100722A8" w14:textId="77777777" w:rsidTr="5779A35C">
        <w:trPr>
          <w:trHeight w:val="503"/>
        </w:trPr>
        <w:tc>
          <w:tcPr>
            <w:tcW w:w="1818" w:type="dxa"/>
            <w:shd w:val="clear" w:color="auto" w:fill="auto"/>
          </w:tcPr>
          <w:p w14:paraId="12D5465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1AF803D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50" w:type="dxa"/>
            <w:shd w:val="clear" w:color="auto" w:fill="auto"/>
          </w:tcPr>
          <w:p w14:paraId="37B75A1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Preferred method is registration records that confirm degree was earned. Beneficiary self-reports may also be utilized.</w:t>
            </w:r>
          </w:p>
        </w:tc>
      </w:tr>
      <w:tr w:rsidR="0041126D" w:rsidRPr="004D40EA" w14:paraId="00B4508D" w14:textId="77777777" w:rsidTr="5779A35C">
        <w:trPr>
          <w:trHeight w:val="512"/>
        </w:trPr>
        <w:tc>
          <w:tcPr>
            <w:tcW w:w="1818" w:type="dxa"/>
            <w:shd w:val="clear" w:color="auto" w:fill="auto"/>
          </w:tcPr>
          <w:p w14:paraId="7CC950C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Notes</w:t>
            </w:r>
          </w:p>
        </w:tc>
        <w:tc>
          <w:tcPr>
            <w:tcW w:w="7650" w:type="dxa"/>
            <w:shd w:val="clear" w:color="auto" w:fill="auto"/>
          </w:tcPr>
          <w:p w14:paraId="522C187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Programs may only select this measure if they are able to collect data during a one-year grant period.  </w:t>
            </w:r>
          </w:p>
        </w:tc>
      </w:tr>
    </w:tbl>
    <w:p w14:paraId="2082DC3C"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632"/>
      </w:tblGrid>
      <w:tr w:rsidR="0041126D" w:rsidRPr="004D40EA" w14:paraId="2BFA604C" w14:textId="77777777">
        <w:trPr>
          <w:trHeight w:val="287"/>
        </w:trPr>
        <w:tc>
          <w:tcPr>
            <w:tcW w:w="1818" w:type="dxa"/>
            <w:shd w:val="clear" w:color="auto" w:fill="auto"/>
          </w:tcPr>
          <w:p w14:paraId="5747A75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bookmarkStart w:id="20" w:name="ED23"/>
            <w:r w:rsidRPr="004D40EA">
              <w:rPr>
                <w:rFonts w:ascii="Avenir Next LT Pro" w:eastAsia="ヒラギノ角ゴ Pro W3" w:hAnsi="Avenir Next LT Pro"/>
                <w:b/>
                <w:color w:val="000000"/>
                <w:sz w:val="20"/>
                <w:szCs w:val="20"/>
              </w:rPr>
              <w:t>ED23</w:t>
            </w:r>
            <w:bookmarkEnd w:id="20"/>
            <w:r w:rsidRPr="004D40EA">
              <w:rPr>
                <w:rFonts w:ascii="Avenir Next LT Pro" w:eastAsia="ヒラギノ角ゴ Pro W3" w:hAnsi="Avenir Next LT Pro"/>
                <w:b/>
                <w:color w:val="000000"/>
                <w:sz w:val="20"/>
                <w:szCs w:val="20"/>
              </w:rPr>
              <w:t>A (outcome)</w:t>
            </w:r>
          </w:p>
        </w:tc>
        <w:tc>
          <w:tcPr>
            <w:tcW w:w="7632" w:type="dxa"/>
            <w:shd w:val="clear" w:color="auto" w:fill="auto"/>
          </w:tcPr>
          <w:p w14:paraId="72EA924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color w:val="000000"/>
                <w:sz w:val="20"/>
                <w:szCs w:val="20"/>
              </w:rPr>
              <w:t>Number of children demonstrating gains in school readiness</w:t>
            </w:r>
          </w:p>
        </w:tc>
      </w:tr>
      <w:tr w:rsidR="0041126D" w:rsidRPr="004D40EA" w14:paraId="386E2BA4" w14:textId="77777777">
        <w:trPr>
          <w:trHeight w:val="1100"/>
        </w:trPr>
        <w:tc>
          <w:tcPr>
            <w:tcW w:w="1818" w:type="dxa"/>
            <w:shd w:val="clear" w:color="auto" w:fill="auto"/>
          </w:tcPr>
          <w:p w14:paraId="3F4D079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32" w:type="dxa"/>
            <w:shd w:val="clear" w:color="auto" w:fill="auto"/>
          </w:tcPr>
          <w:p w14:paraId="09283C3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Children: </w:t>
            </w:r>
            <w:r w:rsidRPr="004D40EA">
              <w:rPr>
                <w:rFonts w:ascii="Avenir Next LT Pro" w:eastAsia="ヒラギノ角ゴ Pro W3" w:hAnsi="Avenir Next LT Pro"/>
                <w:color w:val="000000"/>
                <w:sz w:val="20"/>
                <w:szCs w:val="20"/>
              </w:rPr>
              <w:t>those reported in ED1A</w:t>
            </w:r>
          </w:p>
          <w:p w14:paraId="679ACB1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School readiness:</w:t>
            </w:r>
            <w:r w:rsidRPr="004D40EA">
              <w:rPr>
                <w:rFonts w:ascii="Avenir Next LT Pro" w:eastAsia="ヒラギノ角ゴ Pro W3" w:hAnsi="Avenir Next LT Pro"/>
                <w:color w:val="000000"/>
                <w:sz w:val="20"/>
                <w:szCs w:val="20"/>
              </w:rPr>
              <w:t xml:space="preserve"> Preparation for Kindergarten which includes multiple indicators assessed across developmental and behavioral domains including but not limited to physical well-being, health and motor development, social and emotional development, approaches to learning, language development, cognitive development, and age-appropriate academic skills and behavior.</w:t>
            </w:r>
          </w:p>
        </w:tc>
      </w:tr>
      <w:tr w:rsidR="0041126D" w:rsidRPr="004D40EA" w14:paraId="0AF50891" w14:textId="77777777">
        <w:trPr>
          <w:trHeight w:val="791"/>
        </w:trPr>
        <w:tc>
          <w:tcPr>
            <w:tcW w:w="1818" w:type="dxa"/>
            <w:shd w:val="clear" w:color="auto" w:fill="auto"/>
          </w:tcPr>
          <w:p w14:paraId="758CF6D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w:t>
            </w:r>
          </w:p>
          <w:p w14:paraId="3BE65BC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Measure/</w:t>
            </w:r>
          </w:p>
          <w:p w14:paraId="0F5C2B8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32" w:type="dxa"/>
            <w:shd w:val="clear" w:color="auto" w:fill="auto"/>
          </w:tcPr>
          <w:p w14:paraId="5DFE970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Teacher observation, standardized test, or other instrument capable of measuring changes in school readiness at the individual beneficiary level.  When possible, pre-post assessments should be utilized.</w:t>
            </w:r>
          </w:p>
        </w:tc>
      </w:tr>
    </w:tbl>
    <w:p w14:paraId="75566369"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0E30B0F4" w14:textId="77777777" w:rsidR="0041126D" w:rsidRPr="004D40EA" w:rsidRDefault="0041126D" w:rsidP="0041126D">
      <w:pPr>
        <w:spacing w:after="0" w:line="240" w:lineRule="auto"/>
        <w:contextualSpacing/>
        <w:rPr>
          <w:rFonts w:ascii="Avenir Next LT Pro" w:hAnsi="Avenir Next LT Pro"/>
        </w:rPr>
      </w:pPr>
      <w:r w:rsidRPr="004D40EA">
        <w:rPr>
          <w:rFonts w:ascii="Avenir Next LT Pro" w:hAnsi="Avenir Next LT Pro"/>
        </w:rP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650"/>
      </w:tblGrid>
      <w:tr w:rsidR="0041126D" w:rsidRPr="004D40EA" w14:paraId="2C55A7E4" w14:textId="77777777" w:rsidTr="5779A35C">
        <w:trPr>
          <w:trHeight w:val="314"/>
        </w:trPr>
        <w:tc>
          <w:tcPr>
            <w:tcW w:w="1818" w:type="dxa"/>
            <w:shd w:val="clear" w:color="auto" w:fill="auto"/>
          </w:tcPr>
          <w:p w14:paraId="7D01333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ED27C (outcome)</w:t>
            </w:r>
          </w:p>
        </w:tc>
        <w:tc>
          <w:tcPr>
            <w:tcW w:w="7650" w:type="dxa"/>
            <w:shd w:val="clear" w:color="auto" w:fill="auto"/>
          </w:tcPr>
          <w:p w14:paraId="3216B62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students with improved academic engagement or social and emotional skills</w:t>
            </w:r>
          </w:p>
        </w:tc>
      </w:tr>
      <w:tr w:rsidR="0041126D" w:rsidRPr="004D40EA" w14:paraId="51758A7E" w14:textId="77777777" w:rsidTr="5779A35C">
        <w:trPr>
          <w:trHeight w:val="993"/>
        </w:trPr>
        <w:tc>
          <w:tcPr>
            <w:tcW w:w="1818" w:type="dxa"/>
            <w:shd w:val="clear" w:color="auto" w:fill="auto"/>
          </w:tcPr>
          <w:p w14:paraId="6D16AD7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1A0AA88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50" w:type="dxa"/>
            <w:shd w:val="clear" w:color="auto" w:fill="auto"/>
          </w:tcPr>
          <w:p w14:paraId="25F0BA6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Students: </w:t>
            </w:r>
            <w:r w:rsidRPr="004D40EA">
              <w:rPr>
                <w:rFonts w:ascii="Avenir Next LT Pro" w:eastAsia="ヒラギノ角ゴ Pro W3" w:hAnsi="Avenir Next LT Pro"/>
                <w:color w:val="000000"/>
                <w:sz w:val="20"/>
                <w:szCs w:val="20"/>
              </w:rPr>
              <w:t>those reported in ED1A</w:t>
            </w:r>
          </w:p>
          <w:p w14:paraId="1F2B0BE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5779A35C">
              <w:rPr>
                <w:rFonts w:ascii="Avenir Next LT Pro" w:eastAsia="ヒラギノ角ゴ Pro W3" w:hAnsi="Avenir Next LT Pro"/>
                <w:b/>
                <w:bCs/>
                <w:color w:val="000000" w:themeColor="text1"/>
                <w:sz w:val="20"/>
                <w:szCs w:val="20"/>
              </w:rPr>
              <w:t>Improved academic engagement or social and emotional skills</w:t>
            </w:r>
            <w:r w:rsidRPr="5779A35C">
              <w:rPr>
                <w:rFonts w:ascii="Avenir Next LT Pro" w:eastAsia="ヒラギノ角ゴ Pro W3" w:hAnsi="Avenir Next LT Pro"/>
                <w:color w:val="000000" w:themeColor="text1"/>
                <w:sz w:val="20"/>
                <w:szCs w:val="20"/>
              </w:rPr>
              <w:t xml:space="preserve">:  A positive change in student skills, attitude, and/or mindset that is likely to contribute to increased educational success.  May include increased interest in school, improved perspective on school climate, increased attachment to school and/or increased educational aspirations.   </w:t>
            </w:r>
          </w:p>
        </w:tc>
      </w:tr>
      <w:tr w:rsidR="0041126D" w:rsidRPr="004D40EA" w14:paraId="2D893EFC" w14:textId="77777777" w:rsidTr="5779A35C">
        <w:trPr>
          <w:trHeight w:val="773"/>
        </w:trPr>
        <w:tc>
          <w:tcPr>
            <w:tcW w:w="1818" w:type="dxa"/>
            <w:shd w:val="clear" w:color="auto" w:fill="auto"/>
          </w:tcPr>
          <w:p w14:paraId="254EE63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5EE332D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50" w:type="dxa"/>
            <w:shd w:val="clear" w:color="auto" w:fill="auto"/>
          </w:tcPr>
          <w:p w14:paraId="4D22079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Survey, observation, or other instrument capable of measuring changes in academic engagement or social and emotional skills at the individual beneficiary level.  When possible, pre-post assessments should be utilized.</w:t>
            </w:r>
          </w:p>
        </w:tc>
      </w:tr>
      <w:tr w:rsidR="0041126D" w:rsidRPr="004D40EA" w14:paraId="6D798E56" w14:textId="77777777" w:rsidTr="5779A35C">
        <w:trPr>
          <w:trHeight w:val="539"/>
        </w:trPr>
        <w:tc>
          <w:tcPr>
            <w:tcW w:w="1818" w:type="dxa"/>
            <w:shd w:val="clear" w:color="auto" w:fill="auto"/>
          </w:tcPr>
          <w:p w14:paraId="0542265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Notes</w:t>
            </w:r>
          </w:p>
        </w:tc>
        <w:tc>
          <w:tcPr>
            <w:tcW w:w="7650" w:type="dxa"/>
            <w:shd w:val="clear" w:color="auto" w:fill="auto"/>
          </w:tcPr>
          <w:p w14:paraId="55C4799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color w:val="000000"/>
                <w:sz w:val="20"/>
                <w:szCs w:val="20"/>
              </w:rPr>
              <w:t>Academic or behavioral improvements counted under ED5A, ED6, or ED7A cannot be counted under this measure</w:t>
            </w:r>
          </w:p>
        </w:tc>
      </w:tr>
    </w:tbl>
    <w:p w14:paraId="6B567C70" w14:textId="77777777" w:rsidR="0041126D" w:rsidRPr="004D40EA" w:rsidRDefault="0041126D" w:rsidP="0041126D">
      <w:pPr>
        <w:spacing w:after="0" w:line="240" w:lineRule="auto"/>
        <w:contextualSpacing/>
        <w:rPr>
          <w:rFonts w:ascii="Avenir Next LT Pro" w:hAnsi="Avenir Next LT Pro"/>
          <w:sz w:val="20"/>
          <w:szCs w:val="20"/>
        </w:rPr>
      </w:pPr>
    </w:p>
    <w:p w14:paraId="6FF0D6FC" w14:textId="77777777" w:rsidR="0041126D" w:rsidRPr="004D40EA" w:rsidRDefault="0041126D" w:rsidP="0041126D">
      <w:pPr>
        <w:spacing w:after="0" w:line="240" w:lineRule="auto"/>
        <w:contextualSpacing/>
        <w:rPr>
          <w:rFonts w:ascii="Avenir Next LT Pro" w:hAnsi="Avenir Next LT Pro"/>
          <w:sz w:val="20"/>
          <w:szCs w:val="20"/>
        </w:rPr>
      </w:pPr>
    </w:p>
    <w:p w14:paraId="05747CF5" w14:textId="77777777" w:rsidR="0041126D" w:rsidRPr="004D40EA" w:rsidRDefault="0041126D" w:rsidP="0041126D">
      <w:pPr>
        <w:spacing w:after="0" w:line="240" w:lineRule="auto"/>
        <w:contextualSpacing/>
        <w:rPr>
          <w:rFonts w:ascii="Avenir Next LT Pro" w:hAnsi="Avenir Next LT Pro"/>
          <w:sz w:val="20"/>
          <w:szCs w:val="20"/>
        </w:rPr>
      </w:pPr>
    </w:p>
    <w:p w14:paraId="60EA7CC6"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u w:val="single"/>
        </w:rPr>
      </w:pPr>
    </w:p>
    <w:p w14:paraId="1EC1937F" w14:textId="77777777" w:rsidR="0041126D" w:rsidRPr="004D40EA" w:rsidRDefault="0041126D" w:rsidP="0041126D">
      <w:pPr>
        <w:pStyle w:val="Style2"/>
        <w:rPr>
          <w:rStyle w:val="Strong1"/>
          <w:rFonts w:ascii="Avenir Next LT Pro" w:hAnsi="Avenir Next LT Pro"/>
        </w:rPr>
      </w:pPr>
      <w:r w:rsidRPr="004D40EA">
        <w:rPr>
          <w:rFonts w:ascii="Avenir Next LT Pro" w:eastAsia="ヒラギノ角ゴ Pro W3" w:hAnsi="Avenir Next LT Pro"/>
          <w:color w:val="000000"/>
          <w:u w:val="single"/>
        </w:rPr>
        <w:br w:type="page"/>
      </w:r>
      <w:bookmarkStart w:id="21" w:name="_Toc518377554"/>
      <w:r w:rsidRPr="004D40EA">
        <w:rPr>
          <w:rStyle w:val="Strong1"/>
          <w:rFonts w:ascii="Avenir Next LT Pro" w:hAnsi="Avenir Next LT Pro"/>
        </w:rPr>
        <w:lastRenderedPageBreak/>
        <w:t>ENVIRONMENTAL STEWARDSHIP</w:t>
      </w:r>
      <w:bookmarkEnd w:id="21"/>
    </w:p>
    <w:p w14:paraId="03442145" w14:textId="77777777" w:rsidR="0041126D" w:rsidRPr="004D40EA" w:rsidRDefault="0041126D" w:rsidP="0041126D">
      <w:pPr>
        <w:spacing w:after="0" w:line="240" w:lineRule="auto"/>
        <w:contextualSpacing/>
        <w:rPr>
          <w:rFonts w:ascii="Avenir Next LT Pro" w:hAnsi="Avenir Next LT Pro"/>
          <w:sz w:val="20"/>
          <w:szCs w:val="20"/>
        </w:rPr>
      </w:pPr>
    </w:p>
    <w:p w14:paraId="67BCF508" w14:textId="77777777" w:rsidR="0041126D" w:rsidRPr="004D40EA" w:rsidRDefault="0041126D" w:rsidP="0041126D">
      <w:pPr>
        <w:spacing w:after="0" w:line="240" w:lineRule="auto"/>
        <w:contextualSpacing/>
        <w:rPr>
          <w:rFonts w:ascii="Avenir Next LT Pro" w:hAnsi="Avenir Next LT Pro"/>
          <w:b/>
          <w:sz w:val="20"/>
          <w:szCs w:val="20"/>
        </w:rPr>
      </w:pPr>
      <w:bookmarkStart w:id="22" w:name="_Toc296440538"/>
      <w:bookmarkStart w:id="23" w:name="_Toc295997788"/>
      <w:bookmarkStart w:id="24" w:name="_Toc299043256"/>
      <w:bookmarkStart w:id="25" w:name="_Toc302476960"/>
      <w:r w:rsidRPr="004D40EA">
        <w:rPr>
          <w:rFonts w:ascii="Avenir Next LT Pro" w:hAnsi="Avenir Next LT Pro"/>
          <w:b/>
          <w:sz w:val="20"/>
          <w:szCs w:val="20"/>
        </w:rPr>
        <w:t xml:space="preserve">Focus Area Notes </w:t>
      </w:r>
    </w:p>
    <w:p w14:paraId="5711311D"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Environmental Stewardship performance measures if the measures reflect significant program activities aligned with the applicant’s core theory of change.  </w:t>
      </w:r>
    </w:p>
    <w:p w14:paraId="49960405"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All individuals counted under these measures must be program beneficiaries, not National Service Participants.  National Service Participant outputs and outcomes should be reported in the Performance Data Elements in annual Progress Reports.</w:t>
      </w:r>
    </w:p>
    <w:p w14:paraId="1B250F88"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Activities associated with these measures must be carried out by National Service Participants or by volunteers directly recruited and/or supported by National Service Participants.</w:t>
      </w:r>
    </w:p>
    <w:p w14:paraId="77D19478"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AmeriCorps encourages grantees to perform service with the greatest impact versus providing minimal impact to the highest number of acres/miles/individuals</w:t>
      </w:r>
      <w:r w:rsidRPr="004D40EA">
        <w:rPr>
          <w:rFonts w:ascii="Avenir Next LT Pro" w:hAnsi="Avenir Next LT Pro"/>
          <w:sz w:val="20"/>
          <w:szCs w:val="20"/>
        </w:rPr>
        <w:br/>
      </w: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136A55FB" w14:textId="77777777">
        <w:trPr>
          <w:trHeight w:val="539"/>
        </w:trPr>
        <w:tc>
          <w:tcPr>
            <w:tcW w:w="1728" w:type="dxa"/>
            <w:shd w:val="clear" w:color="auto" w:fill="auto"/>
          </w:tcPr>
          <w:bookmarkEnd w:id="22"/>
          <w:bookmarkEnd w:id="23"/>
          <w:bookmarkEnd w:id="24"/>
          <w:bookmarkEnd w:id="25"/>
          <w:p w14:paraId="3E39A50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EN1 (output)</w:t>
            </w:r>
          </w:p>
          <w:p w14:paraId="447D951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p>
        </w:tc>
        <w:tc>
          <w:tcPr>
            <w:tcW w:w="7646" w:type="dxa"/>
            <w:shd w:val="clear" w:color="auto" w:fill="auto"/>
          </w:tcPr>
          <w:p w14:paraId="20CDD4D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housing units or public structures weatherized or retrofitted to improve energy efficiency</w:t>
            </w:r>
          </w:p>
        </w:tc>
      </w:tr>
      <w:tr w:rsidR="0041126D" w:rsidRPr="004D40EA" w14:paraId="0C3EEAA4" w14:textId="77777777">
        <w:trPr>
          <w:trHeight w:val="2357"/>
        </w:trPr>
        <w:tc>
          <w:tcPr>
            <w:tcW w:w="1728" w:type="dxa"/>
            <w:shd w:val="clear" w:color="auto" w:fill="auto"/>
          </w:tcPr>
          <w:p w14:paraId="717141E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0FAB60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shd w:val="clear" w:color="auto" w:fill="auto"/>
          </w:tcPr>
          <w:p w14:paraId="4D2511EA"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Housing unit:</w:t>
            </w:r>
            <w:r w:rsidRPr="004D40EA">
              <w:rPr>
                <w:rFonts w:ascii="Avenir Next LT Pro" w:eastAsia="ヒラギノ角ゴ Pro W3" w:hAnsi="Avenir Next LT Pro"/>
                <w:color w:val="000000"/>
                <w:sz w:val="20"/>
                <w:szCs w:val="20"/>
              </w:rPr>
              <w:t xml:space="preserve"> a single-family home (including a mobile home if permanently placed), an apartment, or a room in a group home for people with </w:t>
            </w:r>
            <w:proofErr w:type="gramStart"/>
            <w:r w:rsidRPr="004D40EA">
              <w:rPr>
                <w:rFonts w:ascii="Avenir Next LT Pro" w:eastAsia="ヒラギノ角ゴ Pro W3" w:hAnsi="Avenir Next LT Pro"/>
                <w:color w:val="000000"/>
                <w:sz w:val="20"/>
                <w:szCs w:val="20"/>
              </w:rPr>
              <w:t>disabilities</w:t>
            </w:r>
            <w:proofErr w:type="gramEnd"/>
          </w:p>
          <w:p w14:paraId="222D17C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Public structure: </w:t>
            </w:r>
            <w:r w:rsidRPr="004D40EA">
              <w:rPr>
                <w:rFonts w:ascii="Avenir Next LT Pro" w:eastAsia="ヒラギノ角ゴ Pro W3" w:hAnsi="Avenir Next LT Pro"/>
                <w:color w:val="000000"/>
                <w:sz w:val="20"/>
                <w:szCs w:val="20"/>
              </w:rPr>
              <w:t xml:space="preserve">Shelter, such as homeless shelter or emergency shelter operated by a nonprofit or government organization; government-owned </w:t>
            </w:r>
            <w:proofErr w:type="gramStart"/>
            <w:r w:rsidRPr="004D40EA">
              <w:rPr>
                <w:rFonts w:ascii="Avenir Next LT Pro" w:eastAsia="ヒラギノ角ゴ Pro W3" w:hAnsi="Avenir Next LT Pro"/>
                <w:color w:val="000000"/>
                <w:sz w:val="20"/>
                <w:szCs w:val="20"/>
              </w:rPr>
              <w:t>building</w:t>
            </w:r>
            <w:proofErr w:type="gramEnd"/>
          </w:p>
          <w:p w14:paraId="36F5D1A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Weatherization:</w:t>
            </w:r>
            <w:r w:rsidRPr="004D40EA">
              <w:rPr>
                <w:rFonts w:ascii="Avenir Next LT Pro" w:eastAsia="ヒラギノ角ゴ Pro W3" w:hAnsi="Avenir Next LT Pro"/>
                <w:color w:val="000000"/>
                <w:sz w:val="20"/>
                <w:szCs w:val="20"/>
              </w:rPr>
              <w:t xml:space="preserve"> Modifying a building to reduce energy consumption and costs and optimize energy efficiency.  Whole-house weatherization includes the installation of modern energy-saving heating and cooling equipment and looks at how the house performs as a system.</w:t>
            </w:r>
          </w:p>
          <w:p w14:paraId="0F78115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Retrofit</w:t>
            </w:r>
            <w:r w:rsidRPr="004D40EA">
              <w:rPr>
                <w:rFonts w:ascii="Avenir Next LT Pro" w:eastAsia="ヒラギノ角ゴ Pro W3" w:hAnsi="Avenir Next LT Pro"/>
                <w:color w:val="000000"/>
                <w:sz w:val="20"/>
                <w:szCs w:val="20"/>
              </w:rPr>
              <w:t>:</w:t>
            </w:r>
            <w:r w:rsidRPr="004D40EA">
              <w:rPr>
                <w:rFonts w:ascii="Avenir Next LT Pro" w:eastAsia="ヒラギノ角ゴ Pro W3" w:hAnsi="Avenir Next LT Pro"/>
                <w:color w:val="3F456E"/>
                <w:sz w:val="20"/>
                <w:szCs w:val="20"/>
              </w:rPr>
              <w:t xml:space="preserve"> </w:t>
            </w:r>
            <w:r w:rsidRPr="004D40EA">
              <w:rPr>
                <w:rFonts w:ascii="Avenir Next LT Pro" w:eastAsia="ヒラギノ角ゴ Pro W3" w:hAnsi="Avenir Next LT Pro"/>
                <w:color w:val="000000"/>
                <w:sz w:val="20"/>
                <w:szCs w:val="20"/>
              </w:rPr>
              <w:t>An energy conservation measure applied to an existing building or the action of improving the thermal performance or maintenance of a building.</w:t>
            </w:r>
          </w:p>
        </w:tc>
      </w:tr>
      <w:tr w:rsidR="0041126D" w:rsidRPr="004D40EA" w14:paraId="746F6C48" w14:textId="77777777">
        <w:trPr>
          <w:trHeight w:val="539"/>
        </w:trPr>
        <w:tc>
          <w:tcPr>
            <w:tcW w:w="1728" w:type="dxa"/>
            <w:shd w:val="clear" w:color="auto" w:fill="auto"/>
          </w:tcPr>
          <w:p w14:paraId="64BC3E7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24B621FF"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shd w:val="clear" w:color="auto" w:fill="auto"/>
          </w:tcPr>
          <w:p w14:paraId="7A42EC4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units/structures that have received services</w:t>
            </w:r>
          </w:p>
        </w:tc>
      </w:tr>
    </w:tbl>
    <w:p w14:paraId="7199F62C"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4AFF8632" w14:textId="77777777">
        <w:trPr>
          <w:trHeight w:val="476"/>
        </w:trPr>
        <w:tc>
          <w:tcPr>
            <w:tcW w:w="1728" w:type="dxa"/>
            <w:shd w:val="clear" w:color="auto" w:fill="auto"/>
          </w:tcPr>
          <w:p w14:paraId="3A85E51B" w14:textId="77777777" w:rsidR="0041126D" w:rsidRPr="004D40EA" w:rsidRDefault="0041126D">
            <w:pPr>
              <w:widowControl w:val="0"/>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EN1.1 (outcome)</w:t>
            </w:r>
          </w:p>
          <w:p w14:paraId="3DB2FEAC"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p>
        </w:tc>
        <w:tc>
          <w:tcPr>
            <w:tcW w:w="7646" w:type="dxa"/>
            <w:shd w:val="clear" w:color="auto" w:fill="auto"/>
          </w:tcPr>
          <w:p w14:paraId="16E0D95D"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housing units or public structures with reduced energy consumption or reduced energy costs</w:t>
            </w:r>
          </w:p>
        </w:tc>
      </w:tr>
      <w:tr w:rsidR="0041126D" w:rsidRPr="004D40EA" w14:paraId="0BCA32A0" w14:textId="77777777">
        <w:trPr>
          <w:trHeight w:val="494"/>
        </w:trPr>
        <w:tc>
          <w:tcPr>
            <w:tcW w:w="1728" w:type="dxa"/>
            <w:shd w:val="clear" w:color="auto" w:fill="auto"/>
          </w:tcPr>
          <w:p w14:paraId="47CC1BF5" w14:textId="77777777" w:rsidR="0041126D" w:rsidRPr="004D40EA" w:rsidRDefault="0041126D">
            <w:pPr>
              <w:widowControl w:val="0"/>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Definition of Key Terms</w:t>
            </w:r>
          </w:p>
        </w:tc>
        <w:tc>
          <w:tcPr>
            <w:tcW w:w="7646" w:type="dxa"/>
            <w:shd w:val="clear" w:color="auto" w:fill="auto"/>
          </w:tcPr>
          <w:p w14:paraId="7C596024"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Housing units or public structures:</w:t>
            </w:r>
            <w:r w:rsidRPr="004D40EA">
              <w:rPr>
                <w:rFonts w:ascii="Avenir Next LT Pro" w:eastAsia="ヒラギノ角ゴ Pro W3" w:hAnsi="Avenir Next LT Pro"/>
                <w:color w:val="000000"/>
                <w:sz w:val="20"/>
                <w:szCs w:val="20"/>
              </w:rPr>
              <w:t xml:space="preserve"> those reported in EN1</w:t>
            </w:r>
          </w:p>
        </w:tc>
      </w:tr>
      <w:tr w:rsidR="0041126D" w:rsidRPr="004D40EA" w14:paraId="437DFC01" w14:textId="77777777">
        <w:trPr>
          <w:trHeight w:val="692"/>
        </w:trPr>
        <w:tc>
          <w:tcPr>
            <w:tcW w:w="1728" w:type="dxa"/>
            <w:shd w:val="clear" w:color="auto" w:fill="auto"/>
          </w:tcPr>
          <w:p w14:paraId="6704ED2E" w14:textId="77777777" w:rsidR="0041126D" w:rsidRPr="004D40EA" w:rsidRDefault="0041126D">
            <w:pPr>
              <w:widowControl w:val="0"/>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430BDB5F"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shd w:val="clear" w:color="auto" w:fill="auto"/>
          </w:tcPr>
          <w:p w14:paraId="38EBA74D" w14:textId="77777777" w:rsidR="0041126D" w:rsidRPr="004D40EA" w:rsidRDefault="0041126D">
            <w:pPr>
              <w:widowControl w:val="0"/>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Utility bill/statement, computer modeling, resident survey, or other instrument capable of measuring changes in energy consumption or energy costs at the individual unit/structure level.  When possible, pre-post assessments should be utilized.</w:t>
            </w:r>
          </w:p>
        </w:tc>
      </w:tr>
    </w:tbl>
    <w:p w14:paraId="533993B2" w14:textId="77777777" w:rsidR="0041126D" w:rsidRPr="004D40EA" w:rsidRDefault="0041126D" w:rsidP="0041126D">
      <w:pPr>
        <w:spacing w:after="0" w:line="240" w:lineRule="auto"/>
        <w:contextualSpacing/>
        <w:rPr>
          <w:rFonts w:ascii="Avenir Next LT Pro" w:hAnsi="Avenir Next LT Pro"/>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480ECE5" w14:textId="77777777">
        <w:trPr>
          <w:trHeight w:val="530"/>
        </w:trPr>
        <w:tc>
          <w:tcPr>
            <w:tcW w:w="1728" w:type="dxa"/>
            <w:shd w:val="clear" w:color="auto" w:fill="auto"/>
          </w:tcPr>
          <w:p w14:paraId="62E3EBA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EN3 (output)</w:t>
            </w:r>
          </w:p>
        </w:tc>
        <w:tc>
          <w:tcPr>
            <w:tcW w:w="7646" w:type="dxa"/>
            <w:shd w:val="clear" w:color="auto" w:fill="auto"/>
          </w:tcPr>
          <w:p w14:paraId="5CD362C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Number of individuals receiving education or training in environmental stewardship and/or </w:t>
            </w:r>
            <w:proofErr w:type="gramStart"/>
            <w:r w:rsidRPr="004D40EA">
              <w:rPr>
                <w:rFonts w:ascii="Avenir Next LT Pro" w:eastAsia="ヒラギノ角ゴ Pro W3" w:hAnsi="Avenir Next LT Pro"/>
                <w:color w:val="000000"/>
                <w:sz w:val="20"/>
                <w:szCs w:val="20"/>
              </w:rPr>
              <w:t>environmentally-conscious</w:t>
            </w:r>
            <w:proofErr w:type="gramEnd"/>
            <w:r w:rsidRPr="004D40EA">
              <w:rPr>
                <w:rFonts w:ascii="Avenir Next LT Pro" w:eastAsia="ヒラギノ角ゴ Pro W3" w:hAnsi="Avenir Next LT Pro"/>
                <w:color w:val="000000"/>
                <w:sz w:val="20"/>
                <w:szCs w:val="20"/>
              </w:rPr>
              <w:t xml:space="preserve"> practices</w:t>
            </w:r>
          </w:p>
        </w:tc>
      </w:tr>
      <w:tr w:rsidR="0041126D" w:rsidRPr="004D40EA" w14:paraId="61E874C7" w14:textId="77777777">
        <w:trPr>
          <w:trHeight w:val="908"/>
        </w:trPr>
        <w:tc>
          <w:tcPr>
            <w:tcW w:w="1728" w:type="dxa"/>
            <w:shd w:val="clear" w:color="auto" w:fill="auto"/>
          </w:tcPr>
          <w:p w14:paraId="510CD20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73E313C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shd w:val="clear" w:color="auto" w:fill="auto"/>
          </w:tcPr>
          <w:p w14:paraId="697B08C4" w14:textId="77777777" w:rsidR="0041126D" w:rsidRPr="004D40EA" w:rsidRDefault="0041126D">
            <w:pPr>
              <w:spacing w:after="0" w:line="240" w:lineRule="auto"/>
              <w:contextualSpacing/>
              <w:rPr>
                <w:rFonts w:ascii="Avenir Next LT Pro" w:hAnsi="Avenir Next LT Pro"/>
                <w:sz w:val="20"/>
                <w:szCs w:val="20"/>
                <w:lang w:val="en"/>
              </w:rPr>
            </w:pPr>
            <w:r w:rsidRPr="004D40EA">
              <w:rPr>
                <w:rFonts w:ascii="Avenir Next LT Pro" w:eastAsia="ヒラギノ角ゴ Pro W3" w:hAnsi="Avenir Next LT Pro"/>
                <w:b/>
                <w:color w:val="000000"/>
                <w:sz w:val="20"/>
                <w:szCs w:val="20"/>
              </w:rPr>
              <w:t>Environmental Stewardship and/or environmentally conscious practices:</w:t>
            </w:r>
            <w:r w:rsidRPr="004D40EA">
              <w:rPr>
                <w:rFonts w:ascii="Avenir Next LT Pro" w:eastAsia="ヒラギノ角ゴ Pro W3" w:hAnsi="Avenir Next LT Pro"/>
                <w:color w:val="000000"/>
                <w:sz w:val="20"/>
                <w:szCs w:val="20"/>
              </w:rPr>
              <w:t xml:space="preserve"> </w:t>
            </w:r>
            <w:r w:rsidRPr="004D40EA">
              <w:rPr>
                <w:rFonts w:ascii="Avenir Next LT Pro" w:hAnsi="Avenir Next LT Pro"/>
                <w:sz w:val="20"/>
                <w:szCs w:val="20"/>
                <w:lang w:val="en"/>
              </w:rPr>
              <w:t xml:space="preserve">Organized efforts to teach about how natural environments function and, particularly, how human beings can manage their behavior and </w:t>
            </w:r>
            <w:r w:rsidRPr="004D40EA">
              <w:rPr>
                <w:rFonts w:ascii="Avenir Next LT Pro" w:hAnsi="Avenir Next LT Pro"/>
                <w:sz w:val="20"/>
                <w:szCs w:val="20"/>
              </w:rPr>
              <w:t>choices</w:t>
            </w:r>
            <w:r w:rsidRPr="004D40EA">
              <w:rPr>
                <w:rFonts w:ascii="Avenir Next LT Pro" w:hAnsi="Avenir Next LT Pro"/>
                <w:sz w:val="20"/>
                <w:szCs w:val="20"/>
                <w:lang w:val="en"/>
              </w:rPr>
              <w:t xml:space="preserve"> in order to </w:t>
            </w:r>
            <w:r w:rsidRPr="004D40EA">
              <w:rPr>
                <w:rFonts w:ascii="Avenir Next LT Pro" w:hAnsi="Avenir Next LT Pro"/>
                <w:sz w:val="20"/>
                <w:szCs w:val="20"/>
              </w:rPr>
              <w:t>live sustainably</w:t>
            </w:r>
            <w:r w:rsidRPr="004D40EA">
              <w:rPr>
                <w:rFonts w:ascii="Avenir Next LT Pro" w:hAnsi="Avenir Next LT Pro"/>
                <w:sz w:val="20"/>
                <w:szCs w:val="20"/>
                <w:lang w:val="en"/>
              </w:rPr>
              <w:t xml:space="preserve"> within those environments.</w:t>
            </w:r>
          </w:p>
          <w:p w14:paraId="300C460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lang w:val="en"/>
              </w:rPr>
              <w:lastRenderedPageBreak/>
              <w:t>Education or training:</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education goal in mind.  Cannot consist solely of mass dissemination of information such as email blasts, social media posts, or distributing pamphlets.</w:t>
            </w:r>
          </w:p>
        </w:tc>
      </w:tr>
      <w:tr w:rsidR="0041126D" w:rsidRPr="004D40EA" w14:paraId="36A9BBF9" w14:textId="77777777">
        <w:trPr>
          <w:trHeight w:val="539"/>
        </w:trPr>
        <w:tc>
          <w:tcPr>
            <w:tcW w:w="1728" w:type="dxa"/>
            <w:shd w:val="clear" w:color="auto" w:fill="auto"/>
          </w:tcPr>
          <w:p w14:paraId="2DD4F38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 xml:space="preserve">How to Measure/ </w:t>
            </w:r>
          </w:p>
          <w:p w14:paraId="5D8E3CF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shd w:val="clear" w:color="auto" w:fill="auto"/>
          </w:tcPr>
          <w:p w14:paraId="34C64DF7" w14:textId="77777777" w:rsidR="0041126D" w:rsidRPr="004D40EA" w:rsidDel="005C7E9F"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that have received services</w:t>
            </w:r>
          </w:p>
        </w:tc>
      </w:tr>
    </w:tbl>
    <w:p w14:paraId="289CFEA0"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08691E7" w14:textId="77777777">
        <w:trPr>
          <w:trHeight w:val="548"/>
        </w:trPr>
        <w:tc>
          <w:tcPr>
            <w:tcW w:w="1728" w:type="dxa"/>
            <w:shd w:val="clear" w:color="auto" w:fill="auto"/>
          </w:tcPr>
          <w:p w14:paraId="29E0F85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EN3.1 (outcome)</w:t>
            </w:r>
          </w:p>
        </w:tc>
        <w:tc>
          <w:tcPr>
            <w:tcW w:w="7646" w:type="dxa"/>
            <w:shd w:val="clear" w:color="auto" w:fill="auto"/>
          </w:tcPr>
          <w:p w14:paraId="36A3447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Number of individuals with increased knowledge of environmental stewardship and/or </w:t>
            </w:r>
            <w:proofErr w:type="gramStart"/>
            <w:r w:rsidRPr="004D40EA">
              <w:rPr>
                <w:rFonts w:ascii="Avenir Next LT Pro" w:eastAsia="ヒラギノ角ゴ Pro W3" w:hAnsi="Avenir Next LT Pro"/>
                <w:color w:val="000000"/>
                <w:sz w:val="20"/>
                <w:szCs w:val="20"/>
              </w:rPr>
              <w:t>environmentally-conscious</w:t>
            </w:r>
            <w:proofErr w:type="gramEnd"/>
            <w:r w:rsidRPr="004D40EA">
              <w:rPr>
                <w:rFonts w:ascii="Avenir Next LT Pro" w:eastAsia="ヒラギノ角ゴ Pro W3" w:hAnsi="Avenir Next LT Pro"/>
                <w:color w:val="000000"/>
                <w:sz w:val="20"/>
                <w:szCs w:val="20"/>
              </w:rPr>
              <w:t xml:space="preserve"> practices</w:t>
            </w:r>
          </w:p>
        </w:tc>
      </w:tr>
      <w:tr w:rsidR="0041126D" w:rsidRPr="004D40EA" w14:paraId="19D53C05" w14:textId="77777777">
        <w:trPr>
          <w:trHeight w:val="503"/>
        </w:trPr>
        <w:tc>
          <w:tcPr>
            <w:tcW w:w="1728" w:type="dxa"/>
            <w:shd w:val="clear" w:color="auto" w:fill="auto"/>
          </w:tcPr>
          <w:p w14:paraId="35980A6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4D325A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Key Terms</w:t>
            </w:r>
          </w:p>
        </w:tc>
        <w:tc>
          <w:tcPr>
            <w:tcW w:w="7646" w:type="dxa"/>
            <w:shd w:val="clear" w:color="auto" w:fill="auto"/>
          </w:tcPr>
          <w:p w14:paraId="535909A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Individuals:</w:t>
            </w:r>
            <w:r w:rsidRPr="004D40EA">
              <w:rPr>
                <w:rFonts w:ascii="Avenir Next LT Pro" w:eastAsia="ヒラギノ角ゴ Pro W3" w:hAnsi="Avenir Next LT Pro"/>
                <w:color w:val="000000"/>
                <w:sz w:val="20"/>
                <w:szCs w:val="20"/>
              </w:rPr>
              <w:t xml:space="preserve"> those reported in EN3</w:t>
            </w:r>
          </w:p>
        </w:tc>
      </w:tr>
      <w:tr w:rsidR="0041126D" w:rsidRPr="004D40EA" w14:paraId="70354A63" w14:textId="77777777">
        <w:trPr>
          <w:trHeight w:val="467"/>
        </w:trPr>
        <w:tc>
          <w:tcPr>
            <w:tcW w:w="1728" w:type="dxa"/>
            <w:shd w:val="clear" w:color="auto" w:fill="auto"/>
          </w:tcPr>
          <w:p w14:paraId="246C3D3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67747589"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shd w:val="clear" w:color="auto" w:fill="auto"/>
          </w:tcPr>
          <w:p w14:paraId="79CE08D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Survey, test, or other instrument capable of measuring changes in knowledge at the individual beneficiary level.  When possible, pre-post assessments should be utilized.</w:t>
            </w:r>
          </w:p>
        </w:tc>
      </w:tr>
    </w:tbl>
    <w:p w14:paraId="47739999"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1F69039B" w14:textId="77777777">
        <w:trPr>
          <w:trHeight w:val="575"/>
        </w:trPr>
        <w:tc>
          <w:tcPr>
            <w:tcW w:w="1728" w:type="dxa"/>
            <w:shd w:val="clear" w:color="auto" w:fill="auto"/>
          </w:tcPr>
          <w:p w14:paraId="38D8502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EN3.2 (outcome)</w:t>
            </w:r>
          </w:p>
        </w:tc>
        <w:tc>
          <w:tcPr>
            <w:tcW w:w="7646" w:type="dxa"/>
            <w:shd w:val="clear" w:color="auto" w:fill="auto"/>
          </w:tcPr>
          <w:p w14:paraId="5D87021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reporting a change in behavior or the intent to change behavior to better protect the environment</w:t>
            </w:r>
          </w:p>
        </w:tc>
      </w:tr>
      <w:tr w:rsidR="0041126D" w:rsidRPr="004D40EA" w14:paraId="3EDCB576" w14:textId="77777777">
        <w:trPr>
          <w:trHeight w:val="539"/>
        </w:trPr>
        <w:tc>
          <w:tcPr>
            <w:tcW w:w="1728" w:type="dxa"/>
            <w:shd w:val="clear" w:color="auto" w:fill="auto"/>
          </w:tcPr>
          <w:p w14:paraId="1ABC087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3A9D3E5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Key Terms</w:t>
            </w:r>
          </w:p>
        </w:tc>
        <w:tc>
          <w:tcPr>
            <w:tcW w:w="7646" w:type="dxa"/>
            <w:shd w:val="clear" w:color="auto" w:fill="auto"/>
          </w:tcPr>
          <w:p w14:paraId="3D6DF85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EN3</w:t>
            </w:r>
          </w:p>
        </w:tc>
      </w:tr>
      <w:tr w:rsidR="0041126D" w:rsidRPr="004D40EA" w14:paraId="0456B221" w14:textId="77777777">
        <w:trPr>
          <w:trHeight w:val="539"/>
        </w:trPr>
        <w:tc>
          <w:tcPr>
            <w:tcW w:w="1728" w:type="dxa"/>
            <w:shd w:val="clear" w:color="auto" w:fill="auto"/>
          </w:tcPr>
          <w:p w14:paraId="342A4EE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5620CD8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shd w:val="clear" w:color="auto" w:fill="auto"/>
          </w:tcPr>
          <w:p w14:paraId="4378977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Survey, interview, or other instrument capable of measuring changes in behavior at the individual beneficiary level.  When possible, pre-post assessments should be utilized.</w:t>
            </w:r>
          </w:p>
        </w:tc>
      </w:tr>
    </w:tbl>
    <w:p w14:paraId="0CFC5AEE"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4839261E"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06CAC74F" w14:textId="77777777">
        <w:trPr>
          <w:trHeight w:val="341"/>
        </w:trPr>
        <w:tc>
          <w:tcPr>
            <w:tcW w:w="1728" w:type="dxa"/>
            <w:shd w:val="clear" w:color="auto" w:fill="auto"/>
          </w:tcPr>
          <w:p w14:paraId="5378159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bookmarkStart w:id="26" w:name="EN4"/>
            <w:r w:rsidRPr="004D40EA">
              <w:rPr>
                <w:rFonts w:ascii="Avenir Next LT Pro" w:eastAsia="ヒラギノ角ゴ Pro W3" w:hAnsi="Avenir Next LT Pro"/>
                <w:b/>
                <w:color w:val="000000"/>
                <w:sz w:val="20"/>
                <w:szCs w:val="20"/>
              </w:rPr>
              <w:t>EN4</w:t>
            </w:r>
            <w:bookmarkEnd w:id="26"/>
            <w:r w:rsidRPr="004D40EA">
              <w:rPr>
                <w:rFonts w:ascii="Avenir Next LT Pro" w:eastAsia="ヒラギノ角ゴ Pro W3" w:hAnsi="Avenir Next LT Pro"/>
                <w:b/>
                <w:color w:val="000000"/>
                <w:sz w:val="20"/>
                <w:szCs w:val="20"/>
              </w:rPr>
              <w:t xml:space="preserve"> (output)</w:t>
            </w:r>
          </w:p>
        </w:tc>
        <w:tc>
          <w:tcPr>
            <w:tcW w:w="7646" w:type="dxa"/>
            <w:shd w:val="clear" w:color="auto" w:fill="auto"/>
          </w:tcPr>
          <w:p w14:paraId="40E0AFF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acres of public parks or other public and tribal lands that are treated</w:t>
            </w:r>
          </w:p>
        </w:tc>
      </w:tr>
      <w:tr w:rsidR="0041126D" w:rsidRPr="004D40EA" w14:paraId="000A8E19" w14:textId="77777777">
        <w:trPr>
          <w:trHeight w:val="2160"/>
        </w:trPr>
        <w:tc>
          <w:tcPr>
            <w:tcW w:w="1728" w:type="dxa"/>
            <w:shd w:val="clear" w:color="auto" w:fill="auto"/>
          </w:tcPr>
          <w:p w14:paraId="2C4CE6D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1D41528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shd w:val="clear" w:color="auto" w:fill="auto"/>
          </w:tcPr>
          <w:p w14:paraId="6E06C46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Public parks</w:t>
            </w:r>
            <w:r w:rsidRPr="004D40EA">
              <w:rPr>
                <w:rFonts w:ascii="Avenir Next LT Pro" w:eastAsia="ヒラギノ角ゴ Pro W3" w:hAnsi="Avenir Next LT Pro"/>
                <w:color w:val="000000"/>
                <w:sz w:val="20"/>
                <w:szCs w:val="20"/>
              </w:rPr>
              <w:t>: Park/recreation areas that are designated by national, state, city, or county governments (not trails or rivers; see EN5)</w:t>
            </w:r>
          </w:p>
          <w:p w14:paraId="14A97D5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Other public lands:</w:t>
            </w:r>
            <w:r w:rsidRPr="004D40EA">
              <w:rPr>
                <w:rFonts w:ascii="Avenir Next LT Pro" w:eastAsia="ヒラギノ角ゴ Pro W3" w:hAnsi="Avenir Next LT Pro"/>
                <w:color w:val="000000"/>
                <w:sz w:val="20"/>
                <w:szCs w:val="20"/>
              </w:rPr>
              <w:t xml:space="preserve"> Other publicly owned lands; land owned by nonprofits for public use or the public good (such as land conservancies): and public </w:t>
            </w:r>
            <w:proofErr w:type="gramStart"/>
            <w:r w:rsidRPr="004D40EA">
              <w:rPr>
                <w:rFonts w:ascii="Avenir Next LT Pro" w:eastAsia="ヒラギノ角ゴ Pro W3" w:hAnsi="Avenir Next LT Pro"/>
                <w:color w:val="000000"/>
                <w:sz w:val="20"/>
                <w:szCs w:val="20"/>
              </w:rPr>
              <w:t>easements</w:t>
            </w:r>
            <w:proofErr w:type="gramEnd"/>
          </w:p>
          <w:p w14:paraId="4539FE8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Tribal lands:</w:t>
            </w:r>
            <w:r w:rsidRPr="004D40EA">
              <w:rPr>
                <w:rFonts w:ascii="Avenir Next LT Pro" w:eastAsia="ヒラギノ角ゴ Pro W3" w:hAnsi="Avenir Next LT Pro"/>
                <w:color w:val="000000"/>
                <w:sz w:val="20"/>
                <w:szCs w:val="20"/>
              </w:rPr>
              <w:t xml:space="preserve"> Same meaning as imparted by the definitions of “Indian Lands” and “Indian Tribes” provided in. SEC. 101. [42 U.S.C. 12511] </w:t>
            </w:r>
          </w:p>
          <w:p w14:paraId="5CE6099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Treated:</w:t>
            </w:r>
            <w:r w:rsidRPr="004D40EA">
              <w:rPr>
                <w:rFonts w:ascii="Avenir Next LT Pro" w:eastAsia="ヒラギノ角ゴ Pro W3" w:hAnsi="Avenir Next LT Pro"/>
                <w:color w:val="000000"/>
                <w:sz w:val="20"/>
                <w:szCs w:val="20"/>
              </w:rPr>
              <w:t xml:space="preserve"> Removal of invasive species, planting native plants, building riparian buffers, clearing of natural debris (such as fallen trees/limbs, hazardous fuel) and unnatural debris (such as disaster debris and improperly disposed waste). Treatment must go beyond basic trash removal. </w:t>
            </w:r>
          </w:p>
        </w:tc>
      </w:tr>
      <w:tr w:rsidR="0041126D" w:rsidRPr="004D40EA" w14:paraId="5999A734" w14:textId="77777777">
        <w:trPr>
          <w:trHeight w:val="548"/>
        </w:trPr>
        <w:tc>
          <w:tcPr>
            <w:tcW w:w="1728" w:type="dxa"/>
            <w:shd w:val="clear" w:color="auto" w:fill="auto"/>
          </w:tcPr>
          <w:p w14:paraId="2FF9F6F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2383A60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shd w:val="clear" w:color="auto" w:fill="auto"/>
          </w:tcPr>
          <w:p w14:paraId="0C84B17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acres of land that have received services</w:t>
            </w:r>
          </w:p>
        </w:tc>
      </w:tr>
    </w:tbl>
    <w:p w14:paraId="76B068D4"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1E9B60D" w14:textId="77777777">
        <w:trPr>
          <w:trHeight w:val="440"/>
        </w:trPr>
        <w:tc>
          <w:tcPr>
            <w:tcW w:w="1728" w:type="dxa"/>
            <w:shd w:val="clear" w:color="auto" w:fill="auto"/>
          </w:tcPr>
          <w:p w14:paraId="68B27F4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EN4.1 (outcome)</w:t>
            </w:r>
          </w:p>
        </w:tc>
        <w:tc>
          <w:tcPr>
            <w:tcW w:w="7646" w:type="dxa"/>
            <w:shd w:val="clear" w:color="auto" w:fill="auto"/>
          </w:tcPr>
          <w:p w14:paraId="22C9C72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acres of public parks or other public and tribal lands that are improved</w:t>
            </w:r>
          </w:p>
        </w:tc>
      </w:tr>
      <w:tr w:rsidR="0041126D" w:rsidRPr="004D40EA" w14:paraId="6C67FB3C" w14:textId="77777777">
        <w:trPr>
          <w:trHeight w:val="720"/>
        </w:trPr>
        <w:tc>
          <w:tcPr>
            <w:tcW w:w="1728" w:type="dxa"/>
            <w:shd w:val="clear" w:color="auto" w:fill="auto"/>
          </w:tcPr>
          <w:p w14:paraId="6DF9E1D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65AF6F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Key Terms</w:t>
            </w:r>
          </w:p>
        </w:tc>
        <w:tc>
          <w:tcPr>
            <w:tcW w:w="7646" w:type="dxa"/>
            <w:shd w:val="clear" w:color="auto" w:fill="auto"/>
          </w:tcPr>
          <w:p w14:paraId="0AC20CC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Acres of public parks or other public and tribal lands: </w:t>
            </w:r>
            <w:r w:rsidRPr="004D40EA">
              <w:rPr>
                <w:rFonts w:ascii="Avenir Next LT Pro" w:eastAsia="ヒラギノ角ゴ Pro W3" w:hAnsi="Avenir Next LT Pro"/>
                <w:color w:val="000000"/>
                <w:sz w:val="20"/>
                <w:szCs w:val="20"/>
              </w:rPr>
              <w:t xml:space="preserve">those reported in </w:t>
            </w:r>
            <w:proofErr w:type="gramStart"/>
            <w:r w:rsidRPr="004D40EA">
              <w:rPr>
                <w:rFonts w:ascii="Avenir Next LT Pro" w:eastAsia="ヒラギノ角ゴ Pro W3" w:hAnsi="Avenir Next LT Pro"/>
                <w:color w:val="000000"/>
                <w:sz w:val="20"/>
                <w:szCs w:val="20"/>
              </w:rPr>
              <w:t>EN4</w:t>
            </w:r>
            <w:proofErr w:type="gramEnd"/>
          </w:p>
          <w:p w14:paraId="5170B8A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Improved</w:t>
            </w:r>
            <w:r w:rsidRPr="004D40EA">
              <w:rPr>
                <w:rFonts w:ascii="Avenir Next LT Pro" w:eastAsia="ヒラギノ角ゴ Pro W3" w:hAnsi="Avenir Next LT Pro"/>
                <w:color w:val="000000"/>
                <w:sz w:val="20"/>
                <w:szCs w:val="20"/>
              </w:rPr>
              <w:t xml:space="preserve">: Renovated to reduce human impact or the negative impact of natural disasters or invasive species, restored native plants and habitat, reduced erosion, protected watersheds, reduced wildfire risk, </w:t>
            </w:r>
            <w:proofErr w:type="gramStart"/>
            <w:r w:rsidRPr="004D40EA">
              <w:rPr>
                <w:rFonts w:ascii="Avenir Next LT Pro" w:eastAsia="ヒラギノ角ゴ Pro W3" w:hAnsi="Avenir Next LT Pro"/>
                <w:color w:val="000000"/>
                <w:sz w:val="20"/>
                <w:szCs w:val="20"/>
              </w:rPr>
              <w:t>upgraded</w:t>
            </w:r>
            <w:proofErr w:type="gramEnd"/>
            <w:r w:rsidRPr="004D40EA">
              <w:rPr>
                <w:rFonts w:ascii="Avenir Next LT Pro" w:eastAsia="ヒラギノ角ゴ Pro W3" w:hAnsi="Avenir Next LT Pro"/>
                <w:color w:val="000000"/>
                <w:sz w:val="20"/>
                <w:szCs w:val="20"/>
              </w:rPr>
              <w:t xml:space="preserve"> or repaired outdoor recreation facilities or signage, increased public safe access, protected flora and </w:t>
            </w:r>
            <w:r w:rsidRPr="004D40EA">
              <w:rPr>
                <w:rFonts w:ascii="Avenir Next LT Pro" w:eastAsia="ヒラギノ角ゴ Pro W3" w:hAnsi="Avenir Next LT Pro"/>
                <w:color w:val="000000"/>
                <w:sz w:val="20"/>
                <w:szCs w:val="20"/>
              </w:rPr>
              <w:lastRenderedPageBreak/>
              <w:t xml:space="preserve">fauna. Improvement should be consistent with an accepted natural resource restoration, </w:t>
            </w:r>
            <w:proofErr w:type="gramStart"/>
            <w:r w:rsidRPr="004D40EA">
              <w:rPr>
                <w:rFonts w:ascii="Avenir Next LT Pro" w:eastAsia="ヒラギノ角ゴ Pro W3" w:hAnsi="Avenir Next LT Pro"/>
                <w:color w:val="000000"/>
                <w:sz w:val="20"/>
                <w:szCs w:val="20"/>
              </w:rPr>
              <w:t>maintenance</w:t>
            </w:r>
            <w:proofErr w:type="gramEnd"/>
            <w:r w:rsidRPr="004D40EA">
              <w:rPr>
                <w:rFonts w:ascii="Avenir Next LT Pro" w:eastAsia="ヒラギノ角ゴ Pro W3" w:hAnsi="Avenir Next LT Pro"/>
                <w:color w:val="000000"/>
                <w:sz w:val="20"/>
                <w:szCs w:val="20"/>
              </w:rPr>
              <w:t xml:space="preserve"> or improvement plan. </w:t>
            </w:r>
          </w:p>
        </w:tc>
      </w:tr>
      <w:tr w:rsidR="0041126D" w:rsidRPr="004D40EA" w14:paraId="5E45089E" w14:textId="77777777">
        <w:trPr>
          <w:trHeight w:val="720"/>
        </w:trPr>
        <w:tc>
          <w:tcPr>
            <w:tcW w:w="1728" w:type="dxa"/>
            <w:shd w:val="clear" w:color="auto" w:fill="auto"/>
          </w:tcPr>
          <w:p w14:paraId="6C1E2B9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 xml:space="preserve">How to Measure/ </w:t>
            </w:r>
          </w:p>
          <w:p w14:paraId="5C7A8D2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shd w:val="clear" w:color="auto" w:fill="auto"/>
          </w:tcPr>
          <w:p w14:paraId="6485060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Land manager assessment or other instrument capable of measuring changes in land condition at the scale of individual acres.  When possible, pre-post assessments should be utilized.</w:t>
            </w:r>
          </w:p>
        </w:tc>
      </w:tr>
    </w:tbl>
    <w:p w14:paraId="19687995"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580CF6FC"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br w:type="page"/>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42CC36C" w14:textId="77777777">
        <w:trPr>
          <w:trHeight w:val="377"/>
        </w:trPr>
        <w:tc>
          <w:tcPr>
            <w:tcW w:w="1728" w:type="dxa"/>
            <w:shd w:val="clear" w:color="auto" w:fill="auto"/>
          </w:tcPr>
          <w:p w14:paraId="046C01AF"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bookmarkStart w:id="27" w:name="EN5"/>
            <w:r w:rsidRPr="004D40EA">
              <w:rPr>
                <w:rFonts w:ascii="Avenir Next LT Pro" w:eastAsia="ヒラギノ角ゴ Pro W3" w:hAnsi="Avenir Next LT Pro"/>
                <w:b/>
                <w:color w:val="000000"/>
                <w:sz w:val="20"/>
                <w:szCs w:val="20"/>
              </w:rPr>
              <w:lastRenderedPageBreak/>
              <w:t>EN5</w:t>
            </w:r>
            <w:bookmarkEnd w:id="27"/>
            <w:r w:rsidRPr="004D40EA">
              <w:rPr>
                <w:rFonts w:ascii="Avenir Next LT Pro" w:eastAsia="ヒラギノ角ゴ Pro W3" w:hAnsi="Avenir Next LT Pro"/>
                <w:b/>
                <w:color w:val="000000"/>
                <w:sz w:val="20"/>
                <w:szCs w:val="20"/>
              </w:rPr>
              <w:t xml:space="preserve"> (output)</w:t>
            </w:r>
          </w:p>
        </w:tc>
        <w:tc>
          <w:tcPr>
            <w:tcW w:w="7646" w:type="dxa"/>
            <w:shd w:val="clear" w:color="auto" w:fill="auto"/>
          </w:tcPr>
          <w:p w14:paraId="3E894BC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miles of public trails or waterways that are treated and/or constructed</w:t>
            </w:r>
          </w:p>
        </w:tc>
      </w:tr>
      <w:tr w:rsidR="0041126D" w:rsidRPr="004D40EA" w14:paraId="32F5CCB4" w14:textId="77777777">
        <w:trPr>
          <w:trHeight w:val="1680"/>
        </w:trPr>
        <w:tc>
          <w:tcPr>
            <w:tcW w:w="1728" w:type="dxa"/>
            <w:shd w:val="clear" w:color="auto" w:fill="auto"/>
          </w:tcPr>
          <w:p w14:paraId="3451CD9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41480A8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shd w:val="clear" w:color="auto" w:fill="auto"/>
          </w:tcPr>
          <w:p w14:paraId="03C857C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Public trails or waterways</w:t>
            </w:r>
            <w:r w:rsidRPr="004D40EA">
              <w:rPr>
                <w:rFonts w:ascii="Avenir Next LT Pro" w:eastAsia="ヒラギノ角ゴ Pro W3" w:hAnsi="Avenir Next LT Pro"/>
                <w:color w:val="000000"/>
                <w:sz w:val="20"/>
                <w:szCs w:val="20"/>
              </w:rPr>
              <w:t xml:space="preserve">: owned/maintained by national, state, county, city or tribal governments; nonprofits when for public use or the public good; and public </w:t>
            </w:r>
            <w:proofErr w:type="gramStart"/>
            <w:r w:rsidRPr="004D40EA">
              <w:rPr>
                <w:rFonts w:ascii="Avenir Next LT Pro" w:eastAsia="ヒラギノ角ゴ Pro W3" w:hAnsi="Avenir Next LT Pro"/>
                <w:color w:val="000000"/>
                <w:sz w:val="20"/>
                <w:szCs w:val="20"/>
              </w:rPr>
              <w:t>easements</w:t>
            </w:r>
            <w:proofErr w:type="gramEnd"/>
          </w:p>
          <w:p w14:paraId="37DD11E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Treated:</w:t>
            </w:r>
            <w:r w:rsidRPr="004D40EA">
              <w:rPr>
                <w:rFonts w:ascii="Avenir Next LT Pro" w:eastAsia="ヒラギノ角ゴ Pro W3" w:hAnsi="Avenir Next LT Pro"/>
                <w:color w:val="000000"/>
                <w:sz w:val="20"/>
                <w:szCs w:val="20"/>
              </w:rPr>
              <w:t xml:space="preserve">  Removal of invasive species, planting native plants, building riparian buffers, improving tread/corridor of existing trail or making changes to increase the trail lifespan, implementing safety measures, removal of unsafe trail structures, repair of damage caused by visitor use, changes to increase accessibility, clearing of natural debris (such as fallen trees/limbs and hazardous fuel) and unnatural debris (such as disaster debris and improperly disposed waste). Treatments must go beyond basic trash removal. </w:t>
            </w:r>
          </w:p>
          <w:p w14:paraId="3704171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Constructed:</w:t>
            </w:r>
            <w:r w:rsidRPr="004D40EA">
              <w:rPr>
                <w:rFonts w:ascii="Avenir Next LT Pro" w:eastAsia="ヒラギノ角ゴ Pro W3" w:hAnsi="Avenir Next LT Pro"/>
                <w:color w:val="000000"/>
                <w:sz w:val="20"/>
                <w:szCs w:val="20"/>
              </w:rPr>
              <w:t xml:space="preserve"> Activities designed to make trails newly available such as</w:t>
            </w:r>
            <w:r w:rsidRPr="004D40EA" w:rsidDel="003C0718">
              <w:rPr>
                <w:rFonts w:ascii="Avenir Next LT Pro" w:eastAsia="ヒラギノ角ゴ Pro W3" w:hAnsi="Avenir Next LT Pro"/>
                <w:color w:val="000000"/>
                <w:sz w:val="20"/>
                <w:szCs w:val="20"/>
              </w:rPr>
              <w:t xml:space="preserve"> </w:t>
            </w:r>
            <w:r w:rsidRPr="004D40EA">
              <w:rPr>
                <w:rFonts w:ascii="Avenir Next LT Pro" w:eastAsia="ヒラギノ角ゴ Pro W3" w:hAnsi="Avenir Next LT Pro"/>
                <w:color w:val="000000"/>
                <w:sz w:val="20"/>
                <w:szCs w:val="20"/>
              </w:rPr>
              <w:t>adding handicapped accessibility, building boardwalks, trail-blazing, converting a railroad bed to a trail, etc.</w:t>
            </w:r>
          </w:p>
        </w:tc>
      </w:tr>
      <w:tr w:rsidR="0041126D" w:rsidRPr="004D40EA" w14:paraId="2822BC87" w14:textId="77777777">
        <w:trPr>
          <w:trHeight w:val="320"/>
        </w:trPr>
        <w:tc>
          <w:tcPr>
            <w:tcW w:w="1728" w:type="dxa"/>
            <w:shd w:val="clear" w:color="auto" w:fill="auto"/>
          </w:tcPr>
          <w:p w14:paraId="1ABAF3F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112D93F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shd w:val="clear" w:color="auto" w:fill="auto"/>
          </w:tcPr>
          <w:p w14:paraId="1C92005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miles of trail/waterway that have received services</w:t>
            </w:r>
          </w:p>
        </w:tc>
      </w:tr>
    </w:tbl>
    <w:p w14:paraId="57A75B1D"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4A5F39BB"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46D48DCB" w14:textId="77777777">
        <w:trPr>
          <w:trHeight w:val="449"/>
        </w:trPr>
        <w:tc>
          <w:tcPr>
            <w:tcW w:w="1728" w:type="dxa"/>
            <w:shd w:val="clear" w:color="auto" w:fill="auto"/>
          </w:tcPr>
          <w:p w14:paraId="42369EB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EN5.1 (outcome)</w:t>
            </w:r>
          </w:p>
        </w:tc>
        <w:tc>
          <w:tcPr>
            <w:tcW w:w="7646" w:type="dxa"/>
            <w:shd w:val="clear" w:color="auto" w:fill="auto"/>
          </w:tcPr>
          <w:p w14:paraId="4474906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miles of public trails or waterways that are improved and/or put into use</w:t>
            </w:r>
          </w:p>
        </w:tc>
      </w:tr>
      <w:tr w:rsidR="0041126D" w:rsidRPr="004D40EA" w14:paraId="7AFEC80F" w14:textId="77777777">
        <w:trPr>
          <w:trHeight w:val="1680"/>
        </w:trPr>
        <w:tc>
          <w:tcPr>
            <w:tcW w:w="1728" w:type="dxa"/>
            <w:shd w:val="clear" w:color="auto" w:fill="auto"/>
          </w:tcPr>
          <w:p w14:paraId="63507E6F"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20F526D"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Key Terms</w:t>
            </w:r>
          </w:p>
        </w:tc>
        <w:tc>
          <w:tcPr>
            <w:tcW w:w="7646" w:type="dxa"/>
            <w:shd w:val="clear" w:color="auto" w:fill="auto"/>
          </w:tcPr>
          <w:p w14:paraId="40D9DAD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Miles of public trails or waterways:</w:t>
            </w:r>
            <w:r w:rsidRPr="004D40EA">
              <w:rPr>
                <w:rFonts w:ascii="Avenir Next LT Pro" w:eastAsia="ヒラギノ角ゴ Pro W3" w:hAnsi="Avenir Next LT Pro"/>
                <w:color w:val="000000"/>
                <w:sz w:val="20"/>
                <w:szCs w:val="20"/>
              </w:rPr>
              <w:t xml:space="preserve"> those reported in </w:t>
            </w:r>
            <w:proofErr w:type="gramStart"/>
            <w:r w:rsidRPr="004D40EA">
              <w:rPr>
                <w:rFonts w:ascii="Avenir Next LT Pro" w:eastAsia="ヒラギノ角ゴ Pro W3" w:hAnsi="Avenir Next LT Pro"/>
                <w:color w:val="000000"/>
                <w:sz w:val="20"/>
                <w:szCs w:val="20"/>
              </w:rPr>
              <w:t>EN5</w:t>
            </w:r>
            <w:proofErr w:type="gramEnd"/>
          </w:p>
          <w:p w14:paraId="00AE4421" w14:textId="77777777" w:rsidR="0041126D" w:rsidRPr="004D40EA" w:rsidRDefault="0041126D">
            <w:pPr>
              <w:spacing w:after="0" w:line="240" w:lineRule="auto"/>
              <w:contextualSpacing/>
              <w:rPr>
                <w:rFonts w:ascii="Avenir Next LT Pro" w:hAnsi="Avenir Next LT Pro"/>
                <w:color w:val="000000"/>
                <w:sz w:val="20"/>
                <w:szCs w:val="20"/>
              </w:rPr>
            </w:pPr>
            <w:r w:rsidRPr="004D40EA">
              <w:rPr>
                <w:rFonts w:ascii="Avenir Next LT Pro" w:eastAsia="ヒラギノ角ゴ Pro W3" w:hAnsi="Avenir Next LT Pro"/>
                <w:b/>
                <w:color w:val="000000"/>
                <w:sz w:val="20"/>
                <w:szCs w:val="20"/>
              </w:rPr>
              <w:t>Improved:</w:t>
            </w:r>
            <w:r w:rsidRPr="004D40EA">
              <w:rPr>
                <w:rFonts w:ascii="Avenir Next LT Pro" w:eastAsia="ヒラギノ角ゴ Pro W3" w:hAnsi="Avenir Next LT Pro"/>
                <w:color w:val="000000"/>
                <w:sz w:val="20"/>
                <w:szCs w:val="20"/>
              </w:rPr>
              <w:t xml:space="preserve"> Restored to reduce human impact or the negative impact of natural disasters or invasive species, restored native plants and habitat, reduced erosion, protected watersheds, increased safe condition or long-term sustainability of trails, increased accessibility, protected flora and fauna. </w:t>
            </w:r>
            <w:r w:rsidRPr="004D40EA">
              <w:rPr>
                <w:rFonts w:ascii="Avenir Next LT Pro" w:hAnsi="Avenir Next LT Pro"/>
                <w:color w:val="000000"/>
                <w:sz w:val="20"/>
                <w:szCs w:val="20"/>
              </w:rPr>
              <w:t xml:space="preserve">Improvement should be consistent with an accepted natural resource restoration, </w:t>
            </w:r>
            <w:proofErr w:type="gramStart"/>
            <w:r w:rsidRPr="004D40EA">
              <w:rPr>
                <w:rFonts w:ascii="Avenir Next LT Pro" w:hAnsi="Avenir Next LT Pro"/>
                <w:color w:val="000000"/>
                <w:sz w:val="20"/>
                <w:szCs w:val="20"/>
              </w:rPr>
              <w:t>maintenance</w:t>
            </w:r>
            <w:proofErr w:type="gramEnd"/>
            <w:r w:rsidRPr="004D40EA">
              <w:rPr>
                <w:rFonts w:ascii="Avenir Next LT Pro" w:hAnsi="Avenir Next LT Pro"/>
                <w:color w:val="000000"/>
                <w:sz w:val="20"/>
                <w:szCs w:val="20"/>
              </w:rPr>
              <w:t xml:space="preserve"> or improvement plan.</w:t>
            </w:r>
          </w:p>
          <w:p w14:paraId="3878526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Put into use:</w:t>
            </w:r>
            <w:r w:rsidRPr="004D40EA">
              <w:rPr>
                <w:rFonts w:ascii="Avenir Next LT Pro" w:eastAsia="ヒラギノ角ゴ Pro W3" w:hAnsi="Avenir Next LT Pro"/>
                <w:color w:val="000000"/>
                <w:sz w:val="20"/>
                <w:szCs w:val="20"/>
              </w:rPr>
              <w:t xml:space="preserve"> Established safe and useable trails that are now available for public access</w:t>
            </w:r>
          </w:p>
        </w:tc>
      </w:tr>
      <w:tr w:rsidR="0041126D" w:rsidRPr="004D40EA" w14:paraId="6F6B89FD" w14:textId="77777777">
        <w:trPr>
          <w:trHeight w:val="320"/>
        </w:trPr>
        <w:tc>
          <w:tcPr>
            <w:tcW w:w="1728" w:type="dxa"/>
            <w:shd w:val="clear" w:color="auto" w:fill="auto"/>
          </w:tcPr>
          <w:p w14:paraId="1B4DD00D"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13334C1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shd w:val="clear" w:color="auto" w:fill="auto"/>
          </w:tcPr>
          <w:p w14:paraId="31FA6E7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Land manager assessment or other instrument capable of measuring changes in trail or waterway condition at the scale of individual miles.  When possible, pre-post assessments should be utilized.</w:t>
            </w:r>
          </w:p>
        </w:tc>
      </w:tr>
    </w:tbl>
    <w:p w14:paraId="0B999DCF" w14:textId="77777777" w:rsidR="0041126D" w:rsidRPr="004D40EA" w:rsidRDefault="0041126D" w:rsidP="0041126D">
      <w:pPr>
        <w:spacing w:after="0" w:line="240" w:lineRule="auto"/>
        <w:contextualSpacing/>
        <w:rPr>
          <w:rFonts w:ascii="Avenir Next LT Pro" w:hAnsi="Avenir Next LT Pro"/>
          <w:sz w:val="20"/>
          <w:szCs w:val="20"/>
        </w:rPr>
      </w:pPr>
    </w:p>
    <w:p w14:paraId="1F47BB15" w14:textId="77777777" w:rsidR="0041126D" w:rsidRPr="004D40EA" w:rsidRDefault="0041126D" w:rsidP="0041126D">
      <w:pPr>
        <w:rPr>
          <w:rFonts w:ascii="Avenir Next LT Pro" w:eastAsia="ヒラギノ角ゴ Pro W3" w:hAnsi="Avenir Next LT Pro"/>
          <w:b/>
          <w:sz w:val="20"/>
          <w:szCs w:val="20"/>
        </w:rPr>
      </w:pPr>
      <w:bookmarkStart w:id="28" w:name="_Toc291853443"/>
      <w:bookmarkStart w:id="29" w:name="_Toc295997675"/>
      <w:bookmarkStart w:id="30" w:name="_Toc302478298"/>
      <w:bookmarkStart w:id="31" w:name="_Toc371442649"/>
      <w:bookmarkStart w:id="32" w:name="_Toc371442757"/>
    </w:p>
    <w:p w14:paraId="1DE0E6E7" w14:textId="77777777" w:rsidR="0041126D" w:rsidRPr="004D40EA" w:rsidRDefault="0041126D" w:rsidP="0041126D">
      <w:pPr>
        <w:pStyle w:val="Style2"/>
        <w:outlineLvl w:val="9"/>
        <w:rPr>
          <w:rStyle w:val="Strong1"/>
          <w:rFonts w:ascii="Avenir Next LT Pro" w:hAnsi="Avenir Next LT Pro"/>
        </w:rPr>
      </w:pPr>
      <w:bookmarkStart w:id="33" w:name="_Toc517776113"/>
      <w:bookmarkStart w:id="34" w:name="_Toc518376073"/>
    </w:p>
    <w:p w14:paraId="5806F054" w14:textId="77777777" w:rsidR="0041126D" w:rsidRPr="004D40EA" w:rsidRDefault="0041126D" w:rsidP="0041126D">
      <w:pPr>
        <w:pStyle w:val="Style2"/>
        <w:rPr>
          <w:rStyle w:val="Strong1"/>
          <w:rFonts w:ascii="Avenir Next LT Pro" w:hAnsi="Avenir Next LT Pro"/>
        </w:rPr>
      </w:pPr>
      <w:r w:rsidRPr="004D40EA">
        <w:rPr>
          <w:rStyle w:val="Strong1"/>
          <w:rFonts w:ascii="Avenir Next LT Pro" w:hAnsi="Avenir Next LT Pro"/>
        </w:rPr>
        <w:br w:type="page"/>
      </w:r>
      <w:bookmarkStart w:id="35" w:name="_Toc518377555"/>
      <w:r w:rsidRPr="004D40EA">
        <w:rPr>
          <w:rStyle w:val="Strong1"/>
          <w:rFonts w:ascii="Avenir Next LT Pro" w:hAnsi="Avenir Next LT Pro"/>
        </w:rPr>
        <w:lastRenderedPageBreak/>
        <w:t>HEALTHY FUTURES</w:t>
      </w:r>
      <w:bookmarkEnd w:id="33"/>
      <w:bookmarkEnd w:id="34"/>
      <w:bookmarkEnd w:id="35"/>
    </w:p>
    <w:p w14:paraId="1D3E9A23" w14:textId="77777777" w:rsidR="0041126D" w:rsidRPr="004D40EA" w:rsidRDefault="0041126D" w:rsidP="0041126D">
      <w:pPr>
        <w:spacing w:after="0" w:line="240" w:lineRule="auto"/>
        <w:contextualSpacing/>
        <w:rPr>
          <w:rFonts w:ascii="Avenir Next LT Pro" w:hAnsi="Avenir Next LT Pro"/>
          <w:b/>
          <w:sz w:val="20"/>
          <w:szCs w:val="20"/>
        </w:rPr>
      </w:pPr>
    </w:p>
    <w:p w14:paraId="05ABFF78"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Focus Area Notes </w:t>
      </w:r>
    </w:p>
    <w:p w14:paraId="32744E66"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Programs should only opt into the Healthy Futures performance measures if the measures reflect significant program activities aligned with the applicant’s core theory of change.  </w:t>
      </w:r>
    </w:p>
    <w:p w14:paraId="32F0748D"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All individuals counted under these measures must be program beneficiaries, not National Service Participants.  National Service Participant outputs and outcomes should be reported in the Performance Data Elements in annual Progress Reports.</w:t>
      </w:r>
    </w:p>
    <w:p w14:paraId="4DB4025D" w14:textId="77777777" w:rsidR="0041126D" w:rsidRPr="004D40EA" w:rsidRDefault="0041126D" w:rsidP="0041126D">
      <w:pPr>
        <w:numPr>
          <w:ilvl w:val="0"/>
          <w:numId w:val="1"/>
        </w:numPr>
        <w:spacing w:after="0" w:line="240" w:lineRule="auto"/>
        <w:contextualSpacing/>
        <w:rPr>
          <w:rFonts w:ascii="Avenir Next LT Pro" w:hAnsi="Avenir Next LT Pro"/>
          <w:sz w:val="20"/>
          <w:szCs w:val="20"/>
        </w:rPr>
      </w:pPr>
      <w:r w:rsidRPr="004D40EA">
        <w:rPr>
          <w:rFonts w:ascii="Avenir Next LT Pro" w:hAnsi="Avenir Next LT Pro"/>
          <w:sz w:val="20"/>
          <w:szCs w:val="20"/>
        </w:rPr>
        <w:t>Activities associated with these measures must be carried out by National Service Participants or by volunteers directly recruited and/or supported by National Service Participants.</w:t>
      </w:r>
      <w:r w:rsidRPr="004D40EA">
        <w:rPr>
          <w:rFonts w:ascii="Avenir Next LT Pro" w:hAnsi="Avenir Next LT Pro"/>
          <w:sz w:val="20"/>
          <w:szCs w:val="20"/>
        </w:rPr>
        <w:br/>
      </w:r>
    </w:p>
    <w:p w14:paraId="0DCB8C05"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083EE470" w14:textId="77777777">
        <w:trPr>
          <w:trHeight w:val="330"/>
        </w:trPr>
        <w:tc>
          <w:tcPr>
            <w:tcW w:w="1728" w:type="dxa"/>
            <w:shd w:val="clear" w:color="auto" w:fill="auto"/>
          </w:tcPr>
          <w:bookmarkEnd w:id="28"/>
          <w:bookmarkEnd w:id="29"/>
          <w:bookmarkEnd w:id="30"/>
          <w:bookmarkEnd w:id="31"/>
          <w:bookmarkEnd w:id="32"/>
          <w:p w14:paraId="54C7545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H4A (output)</w:t>
            </w:r>
          </w:p>
        </w:tc>
        <w:tc>
          <w:tcPr>
            <w:tcW w:w="7646" w:type="dxa"/>
            <w:shd w:val="clear" w:color="auto" w:fill="auto"/>
          </w:tcPr>
          <w:p w14:paraId="7DFA594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served</w:t>
            </w:r>
          </w:p>
        </w:tc>
      </w:tr>
      <w:tr w:rsidR="0041126D" w:rsidRPr="004D40EA" w14:paraId="79E8E92F" w14:textId="77777777">
        <w:trPr>
          <w:trHeight w:val="512"/>
        </w:trPr>
        <w:tc>
          <w:tcPr>
            <w:tcW w:w="1728" w:type="dxa"/>
            <w:shd w:val="clear" w:color="auto" w:fill="auto"/>
          </w:tcPr>
          <w:p w14:paraId="6FCE5DA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5AEB95A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shd w:val="clear" w:color="auto" w:fill="auto"/>
          </w:tcPr>
          <w:p w14:paraId="1AD8F45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recipients of AmeriCorps-supported services related to improving health-related outcomes</w:t>
            </w:r>
          </w:p>
          <w:p w14:paraId="1021C0AA"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b/>
                <w:sz w:val="20"/>
                <w:szCs w:val="20"/>
                <w:lang w:val="en"/>
              </w:rPr>
              <w:t>Served:</w:t>
            </w:r>
            <w:r w:rsidRPr="004D40EA">
              <w:rPr>
                <w:rFonts w:ascii="Avenir Next LT Pro" w:hAnsi="Avenir Next LT Pro"/>
                <w:sz w:val="20"/>
                <w:szCs w:val="20"/>
                <w:lang w:val="en"/>
              </w:rPr>
              <w:t xml:space="preserve"> </w:t>
            </w:r>
            <w:r w:rsidRPr="004D40EA">
              <w:rPr>
                <w:rFonts w:ascii="Avenir Next LT Pro" w:hAnsi="Avenir Next LT Pro"/>
                <w:sz w:val="20"/>
                <w:szCs w:val="20"/>
              </w:rPr>
              <w:t>substantive engagement of individuals with a specific health-related goal in mind.  Cannot consist solely of mass dissemination of information such as email blasts, social media posts, or distributing pamphlets.</w:t>
            </w:r>
          </w:p>
        </w:tc>
      </w:tr>
      <w:tr w:rsidR="0041126D" w:rsidRPr="004D40EA" w14:paraId="5E8692B3" w14:textId="77777777">
        <w:trPr>
          <w:trHeight w:val="470"/>
        </w:trPr>
        <w:tc>
          <w:tcPr>
            <w:tcW w:w="1728" w:type="dxa"/>
            <w:shd w:val="clear" w:color="auto" w:fill="auto"/>
          </w:tcPr>
          <w:p w14:paraId="7746AF7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6DC5C6E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shd w:val="clear" w:color="auto" w:fill="auto"/>
          </w:tcPr>
          <w:p w14:paraId="576BD2E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6BB6D25D"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0B00183A" w14:textId="77777777">
        <w:trPr>
          <w:trHeight w:val="330"/>
        </w:trPr>
        <w:tc>
          <w:tcPr>
            <w:tcW w:w="1728" w:type="dxa"/>
            <w:shd w:val="clear" w:color="auto" w:fill="auto"/>
          </w:tcPr>
          <w:p w14:paraId="5FB124D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H9A (outcome)</w:t>
            </w:r>
          </w:p>
        </w:tc>
        <w:tc>
          <w:tcPr>
            <w:tcW w:w="7646" w:type="dxa"/>
            <w:shd w:val="clear" w:color="auto" w:fill="auto"/>
          </w:tcPr>
          <w:p w14:paraId="29DFD521"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who report</w:t>
            </w:r>
            <w:r w:rsidRPr="004D40EA" w:rsidDel="00C068B0">
              <w:rPr>
                <w:rFonts w:ascii="Avenir Next LT Pro" w:eastAsia="ヒラギノ角ゴ Pro W3" w:hAnsi="Avenir Next LT Pro"/>
                <w:color w:val="000000"/>
                <w:sz w:val="20"/>
                <w:szCs w:val="20"/>
              </w:rPr>
              <w:t xml:space="preserve"> </w:t>
            </w:r>
            <w:r w:rsidRPr="004D40EA">
              <w:rPr>
                <w:rFonts w:ascii="Avenir Next LT Pro" w:eastAsia="ヒラギノ角ゴ Pro W3" w:hAnsi="Avenir Next LT Pro"/>
                <w:color w:val="000000"/>
                <w:sz w:val="20"/>
                <w:szCs w:val="20"/>
              </w:rPr>
              <w:t>improved capacity for independent living</w:t>
            </w:r>
          </w:p>
        </w:tc>
      </w:tr>
      <w:tr w:rsidR="0041126D" w:rsidRPr="004D40EA" w14:paraId="733AD94D" w14:textId="77777777">
        <w:trPr>
          <w:trHeight w:val="330"/>
        </w:trPr>
        <w:tc>
          <w:tcPr>
            <w:tcW w:w="1728" w:type="dxa"/>
            <w:shd w:val="clear" w:color="auto" w:fill="auto"/>
          </w:tcPr>
          <w:p w14:paraId="1DAE164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3A98836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shd w:val="clear" w:color="auto" w:fill="auto"/>
          </w:tcPr>
          <w:p w14:paraId="07F593F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tc>
      </w:tr>
      <w:tr w:rsidR="0041126D" w:rsidRPr="004D40EA" w14:paraId="0329653F" w14:textId="77777777">
        <w:trPr>
          <w:trHeight w:val="330"/>
        </w:trPr>
        <w:tc>
          <w:tcPr>
            <w:tcW w:w="1728" w:type="dxa"/>
            <w:shd w:val="clear" w:color="auto" w:fill="auto"/>
          </w:tcPr>
          <w:p w14:paraId="33AF460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661D3E8C"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shd w:val="clear" w:color="auto" w:fill="auto"/>
          </w:tcPr>
          <w:p w14:paraId="0AF564D1" w14:textId="77777777" w:rsidR="0041126D" w:rsidRPr="004D40EA" w:rsidRDefault="0041126D">
            <w:pPr>
              <w:spacing w:after="0" w:line="240" w:lineRule="auto"/>
              <w:contextualSpacing/>
              <w:rPr>
                <w:rFonts w:ascii="Avenir Next LT Pro" w:eastAsia="ヒラギノ角ゴ Pro W3" w:hAnsi="Avenir Next LT Pro"/>
                <w:sz w:val="20"/>
                <w:szCs w:val="20"/>
              </w:rPr>
            </w:pPr>
            <w:r w:rsidRPr="004D40EA">
              <w:rPr>
                <w:rFonts w:ascii="Avenir Next LT Pro" w:eastAsia="ヒラギノ角ゴ Pro W3" w:hAnsi="Avenir Next LT Pro"/>
                <w:color w:val="000000"/>
                <w:sz w:val="20"/>
                <w:szCs w:val="20"/>
              </w:rPr>
              <w:t>Survey, interview, caseworker assessment, or other instrument capable of measuring changes in independent living capacity at the individual beneficiary level.  When possible, pre-post assessments should be utilized.</w:t>
            </w:r>
          </w:p>
        </w:tc>
      </w:tr>
    </w:tbl>
    <w:p w14:paraId="661DC1A8"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hAnsi="Avenir Next LT Pro"/>
          <w:sz w:val="20"/>
          <w:szCs w:val="20"/>
        </w:rPr>
        <w:br/>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7B262162" w14:textId="77777777">
        <w:trPr>
          <w:trHeight w:val="305"/>
        </w:trPr>
        <w:tc>
          <w:tcPr>
            <w:tcW w:w="1728" w:type="dxa"/>
            <w:shd w:val="clear" w:color="auto" w:fill="auto"/>
          </w:tcPr>
          <w:p w14:paraId="1E9B247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H10A (output)</w:t>
            </w:r>
          </w:p>
        </w:tc>
        <w:tc>
          <w:tcPr>
            <w:tcW w:w="7646" w:type="dxa"/>
            <w:shd w:val="clear" w:color="auto" w:fill="auto"/>
          </w:tcPr>
          <w:p w14:paraId="40D309A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pounds of food provided</w:t>
            </w:r>
          </w:p>
        </w:tc>
      </w:tr>
      <w:tr w:rsidR="0041126D" w:rsidRPr="004D40EA" w14:paraId="26886BED" w14:textId="77777777">
        <w:trPr>
          <w:trHeight w:val="692"/>
        </w:trPr>
        <w:tc>
          <w:tcPr>
            <w:tcW w:w="1728" w:type="dxa"/>
            <w:shd w:val="clear" w:color="auto" w:fill="auto"/>
          </w:tcPr>
          <w:p w14:paraId="00DBA50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05563A0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shd w:val="clear" w:color="auto" w:fill="auto"/>
          </w:tcPr>
          <w:p w14:paraId="57FD2BD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Food provided: </w:t>
            </w:r>
            <w:r w:rsidRPr="004D40EA">
              <w:rPr>
                <w:rFonts w:ascii="Avenir Next LT Pro" w:eastAsia="ヒラギノ角ゴ Pro W3" w:hAnsi="Avenir Next LT Pro"/>
                <w:color w:val="000000"/>
                <w:sz w:val="20"/>
                <w:szCs w:val="20"/>
              </w:rPr>
              <w:t>made available at reduced or no cost to individuals and/or organizations for the purpose of alleviating food insecurity or hunger.  May include community garden programs.</w:t>
            </w:r>
          </w:p>
        </w:tc>
      </w:tr>
      <w:tr w:rsidR="0041126D" w:rsidRPr="004D40EA" w14:paraId="6A0E5B33" w14:textId="77777777">
        <w:trPr>
          <w:trHeight w:val="320"/>
        </w:trPr>
        <w:tc>
          <w:tcPr>
            <w:tcW w:w="1728" w:type="dxa"/>
            <w:shd w:val="clear" w:color="auto" w:fill="auto"/>
          </w:tcPr>
          <w:p w14:paraId="5AA124E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7310DE5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shd w:val="clear" w:color="auto" w:fill="auto"/>
          </w:tcPr>
          <w:p w14:paraId="692FCE6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pounds of food provided</w:t>
            </w:r>
          </w:p>
        </w:tc>
      </w:tr>
    </w:tbl>
    <w:p w14:paraId="43CD9130"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4047BA3A"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2BD07243" w14:textId="77777777">
        <w:trPr>
          <w:trHeight w:val="332"/>
        </w:trPr>
        <w:tc>
          <w:tcPr>
            <w:tcW w:w="1728" w:type="dxa"/>
            <w:shd w:val="clear" w:color="auto" w:fill="auto"/>
          </w:tcPr>
          <w:p w14:paraId="1AC00A1B"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H12 (outcome)</w:t>
            </w:r>
          </w:p>
        </w:tc>
        <w:tc>
          <w:tcPr>
            <w:tcW w:w="7646" w:type="dxa"/>
            <w:shd w:val="clear" w:color="auto" w:fill="auto"/>
          </w:tcPr>
          <w:p w14:paraId="545068C7"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who report increased food security</w:t>
            </w:r>
          </w:p>
        </w:tc>
      </w:tr>
      <w:tr w:rsidR="0041126D" w:rsidRPr="004D40EA" w14:paraId="7AE023DC" w14:textId="77777777">
        <w:trPr>
          <w:trHeight w:val="1335"/>
        </w:trPr>
        <w:tc>
          <w:tcPr>
            <w:tcW w:w="1728" w:type="dxa"/>
            <w:shd w:val="clear" w:color="auto" w:fill="auto"/>
          </w:tcPr>
          <w:p w14:paraId="76BC3141"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2CBA7E4E"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shd w:val="clear" w:color="auto" w:fill="auto"/>
          </w:tcPr>
          <w:p w14:paraId="098C3B3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p w14:paraId="63C7C43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Food security</w:t>
            </w:r>
            <w:r w:rsidRPr="004D40EA">
              <w:rPr>
                <w:rFonts w:ascii="Avenir Next LT Pro" w:eastAsia="ヒラギノ角ゴ Pro W3" w:hAnsi="Avenir Next LT Pro"/>
                <w:color w:val="000000"/>
                <w:sz w:val="20"/>
                <w:szCs w:val="20"/>
              </w:rPr>
              <w:t>: Access at all times to enough food for an active, healthy life.  Food security includes at a minimum: (1) the ready availability of</w:t>
            </w:r>
          </w:p>
          <w:p w14:paraId="01BFE7D3"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nutritionally adequate and safe foods, and (2) an assured ability to acquire </w:t>
            </w:r>
            <w:proofErr w:type="gramStart"/>
            <w:r w:rsidRPr="004D40EA">
              <w:rPr>
                <w:rFonts w:ascii="Avenir Next LT Pro" w:eastAsia="ヒラギノ角ゴ Pro W3" w:hAnsi="Avenir Next LT Pro"/>
                <w:color w:val="000000"/>
                <w:sz w:val="20"/>
                <w:szCs w:val="20"/>
              </w:rPr>
              <w:t>acceptable</w:t>
            </w:r>
            <w:proofErr w:type="gramEnd"/>
          </w:p>
          <w:p w14:paraId="3A2D3BB5"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foods in socially acceptable ways (that is, without resorting to emergency food supplies,</w:t>
            </w:r>
          </w:p>
          <w:p w14:paraId="74584F1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scavenging, stealing, or other coping strategies). [USDA]</w:t>
            </w:r>
          </w:p>
        </w:tc>
      </w:tr>
      <w:tr w:rsidR="0041126D" w:rsidRPr="004D40EA" w14:paraId="6BF88DE8" w14:textId="77777777">
        <w:trPr>
          <w:trHeight w:val="255"/>
        </w:trPr>
        <w:tc>
          <w:tcPr>
            <w:tcW w:w="1728" w:type="dxa"/>
            <w:shd w:val="clear" w:color="auto" w:fill="auto"/>
          </w:tcPr>
          <w:p w14:paraId="03CCB9C5"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 xml:space="preserve">How to Measure/ </w:t>
            </w:r>
          </w:p>
          <w:p w14:paraId="5FFF5E02"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shd w:val="clear" w:color="auto" w:fill="auto"/>
          </w:tcPr>
          <w:p w14:paraId="62C6495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Survey, interview, caseworker assessment, or other instrument capable of measuring changes in food security at the individual beneficiary level.  When possible, pre-post assessments should be utilized. </w:t>
            </w:r>
          </w:p>
        </w:tc>
      </w:tr>
    </w:tbl>
    <w:p w14:paraId="3968EE6C" w14:textId="77777777" w:rsidR="0041126D" w:rsidRPr="004D40EA" w:rsidRDefault="0041126D" w:rsidP="0041126D">
      <w:pPr>
        <w:rPr>
          <w:rFonts w:ascii="Avenir Next LT Pro" w:hAnsi="Avenir Next LT Pro"/>
        </w:rPr>
      </w:pPr>
    </w:p>
    <w:p w14:paraId="098F89DE" w14:textId="77777777" w:rsidR="0041126D" w:rsidRPr="004D40EA" w:rsidRDefault="0041126D" w:rsidP="0041126D">
      <w:pPr>
        <w:rPr>
          <w:rFonts w:ascii="Avenir Next LT Pro" w:hAnsi="Avenir Next LT Pro"/>
        </w:rPr>
      </w:pPr>
      <w:r w:rsidRPr="004D40EA">
        <w:rPr>
          <w:rFonts w:ascii="Avenir Next LT Pro" w:hAnsi="Avenir Next LT Pro"/>
        </w:rPr>
        <w:br w:type="page"/>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1CD7AC2C" w14:textId="77777777">
        <w:trPr>
          <w:trHeight w:val="332"/>
        </w:trPr>
        <w:tc>
          <w:tcPr>
            <w:tcW w:w="1728" w:type="dxa"/>
            <w:shd w:val="clear" w:color="auto" w:fill="auto"/>
          </w:tcPr>
          <w:p w14:paraId="62A8BAF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H17 (outcome)</w:t>
            </w:r>
          </w:p>
        </w:tc>
        <w:tc>
          <w:tcPr>
            <w:tcW w:w="7646" w:type="dxa"/>
            <w:shd w:val="clear" w:color="auto" w:fill="auto"/>
          </w:tcPr>
          <w:p w14:paraId="7E18EA0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individuals with increased health knowledge</w:t>
            </w:r>
          </w:p>
        </w:tc>
      </w:tr>
      <w:tr w:rsidR="0041126D" w:rsidRPr="004D40EA" w14:paraId="383DBBE4" w14:textId="77777777">
        <w:trPr>
          <w:trHeight w:val="539"/>
        </w:trPr>
        <w:tc>
          <w:tcPr>
            <w:tcW w:w="1728" w:type="dxa"/>
            <w:shd w:val="clear" w:color="auto" w:fill="auto"/>
          </w:tcPr>
          <w:p w14:paraId="18F4D75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03F6302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646" w:type="dxa"/>
            <w:shd w:val="clear" w:color="auto" w:fill="auto"/>
          </w:tcPr>
          <w:p w14:paraId="16A0F758"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tc>
      </w:tr>
      <w:tr w:rsidR="0041126D" w:rsidRPr="004D40EA" w14:paraId="398D27C9" w14:textId="77777777">
        <w:trPr>
          <w:trHeight w:val="255"/>
        </w:trPr>
        <w:tc>
          <w:tcPr>
            <w:tcW w:w="1728" w:type="dxa"/>
            <w:shd w:val="clear" w:color="auto" w:fill="auto"/>
          </w:tcPr>
          <w:p w14:paraId="335DFA43"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How to Measure/ </w:t>
            </w:r>
          </w:p>
          <w:p w14:paraId="3756AD6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Collect Data</w:t>
            </w:r>
          </w:p>
        </w:tc>
        <w:tc>
          <w:tcPr>
            <w:tcW w:w="7646" w:type="dxa"/>
            <w:shd w:val="clear" w:color="auto" w:fill="auto"/>
          </w:tcPr>
          <w:p w14:paraId="1347838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Survey, test, or other instrument capable of measuring changes in knowledge at the individual beneficiary level.  When possible, pre-post assessments should be utilized. </w:t>
            </w:r>
          </w:p>
        </w:tc>
      </w:tr>
    </w:tbl>
    <w:p w14:paraId="773C12C6"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56A91E14" w14:textId="77777777" w:rsidR="0041126D" w:rsidRPr="004D40EA" w:rsidRDefault="0041126D" w:rsidP="0041126D">
      <w:pPr>
        <w:spacing w:after="0" w:line="240" w:lineRule="auto"/>
        <w:contextualSpacing/>
        <w:rPr>
          <w:rFonts w:ascii="Avenir Next LT Pro" w:hAnsi="Avenir Next LT Pro"/>
          <w:bCs/>
          <w:kern w:val="32"/>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29A81CF6" w14:textId="77777777">
        <w:trPr>
          <w:trHeight w:val="332"/>
        </w:trPr>
        <w:tc>
          <w:tcPr>
            <w:tcW w:w="1728" w:type="dxa"/>
            <w:shd w:val="clear" w:color="auto" w:fill="auto"/>
          </w:tcPr>
          <w:p w14:paraId="30F3D1B0"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H18 (outcome)</w:t>
            </w:r>
          </w:p>
        </w:tc>
        <w:tc>
          <w:tcPr>
            <w:tcW w:w="7646" w:type="dxa"/>
            <w:shd w:val="clear" w:color="auto" w:fill="auto"/>
          </w:tcPr>
          <w:p w14:paraId="14C02069"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Number of individuals reporting a change in behavior or intent to change behavior to improve their health</w:t>
            </w:r>
          </w:p>
        </w:tc>
      </w:tr>
      <w:tr w:rsidR="0041126D" w:rsidRPr="004D40EA" w14:paraId="0807C831" w14:textId="77777777">
        <w:trPr>
          <w:trHeight w:val="530"/>
        </w:trPr>
        <w:tc>
          <w:tcPr>
            <w:tcW w:w="1728" w:type="dxa"/>
            <w:shd w:val="clear" w:color="auto" w:fill="auto"/>
          </w:tcPr>
          <w:p w14:paraId="316BC16A"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Definition of </w:t>
            </w:r>
          </w:p>
          <w:p w14:paraId="0DE7D441"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Key Terms</w:t>
            </w:r>
          </w:p>
        </w:tc>
        <w:tc>
          <w:tcPr>
            <w:tcW w:w="7646" w:type="dxa"/>
            <w:shd w:val="clear" w:color="auto" w:fill="auto"/>
          </w:tcPr>
          <w:p w14:paraId="11C685CD"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tc>
      </w:tr>
      <w:tr w:rsidR="0041126D" w:rsidRPr="004D40EA" w14:paraId="0DC98770" w14:textId="77777777">
        <w:trPr>
          <w:trHeight w:val="255"/>
        </w:trPr>
        <w:tc>
          <w:tcPr>
            <w:tcW w:w="1728" w:type="dxa"/>
            <w:shd w:val="clear" w:color="auto" w:fill="auto"/>
          </w:tcPr>
          <w:p w14:paraId="2D97B48D"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How to Measure/ </w:t>
            </w:r>
          </w:p>
          <w:p w14:paraId="2FF65A44"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Collect Data</w:t>
            </w:r>
          </w:p>
        </w:tc>
        <w:tc>
          <w:tcPr>
            <w:tcW w:w="7646" w:type="dxa"/>
            <w:shd w:val="clear" w:color="auto" w:fill="auto"/>
          </w:tcPr>
          <w:p w14:paraId="18F1C2C4"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Survey, interview, or other instrument capable of measuring changes in behavior at the individual beneficiary level.  When possible, pre-post assessments should be utilized.</w:t>
            </w:r>
          </w:p>
        </w:tc>
      </w:tr>
    </w:tbl>
    <w:p w14:paraId="075D89F0"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2A818325" w14:textId="77777777" w:rsidR="0041126D" w:rsidRPr="004D40EA" w:rsidRDefault="0041126D" w:rsidP="0041126D">
      <w:pPr>
        <w:spacing w:after="0" w:line="240" w:lineRule="auto"/>
        <w:contextualSpacing/>
        <w:rPr>
          <w:rFonts w:ascii="Avenir Next LT Pro" w:hAnsi="Avenir Next LT Pro"/>
          <w:bCs/>
          <w:kern w:val="32"/>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2490AEA4" w14:textId="77777777">
        <w:trPr>
          <w:trHeight w:val="314"/>
        </w:trPr>
        <w:tc>
          <w:tcPr>
            <w:tcW w:w="1728" w:type="dxa"/>
            <w:shd w:val="clear" w:color="auto" w:fill="auto"/>
          </w:tcPr>
          <w:p w14:paraId="4590FCCE"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H19 (outcome)</w:t>
            </w:r>
          </w:p>
        </w:tc>
        <w:tc>
          <w:tcPr>
            <w:tcW w:w="7646" w:type="dxa"/>
            <w:shd w:val="clear" w:color="auto" w:fill="auto"/>
          </w:tcPr>
          <w:p w14:paraId="663F46EC"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Number of individuals with improved health</w:t>
            </w:r>
          </w:p>
        </w:tc>
      </w:tr>
      <w:tr w:rsidR="0041126D" w:rsidRPr="004D40EA" w14:paraId="12EF6C5C" w14:textId="77777777">
        <w:trPr>
          <w:trHeight w:val="503"/>
        </w:trPr>
        <w:tc>
          <w:tcPr>
            <w:tcW w:w="1728" w:type="dxa"/>
            <w:shd w:val="clear" w:color="auto" w:fill="auto"/>
          </w:tcPr>
          <w:p w14:paraId="5D889A6D"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Definition of </w:t>
            </w:r>
          </w:p>
          <w:p w14:paraId="5C992110"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Key Terms</w:t>
            </w:r>
          </w:p>
        </w:tc>
        <w:tc>
          <w:tcPr>
            <w:tcW w:w="7646" w:type="dxa"/>
            <w:shd w:val="clear" w:color="auto" w:fill="auto"/>
          </w:tcPr>
          <w:p w14:paraId="79963801"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eastAsia="ヒラギノ角ゴ Pro W3" w:hAnsi="Avenir Next LT Pro"/>
                <w:b/>
                <w:color w:val="000000"/>
                <w:sz w:val="20"/>
                <w:szCs w:val="20"/>
              </w:rPr>
              <w:t xml:space="preserve">Individuals: </w:t>
            </w:r>
            <w:r w:rsidRPr="004D40EA">
              <w:rPr>
                <w:rFonts w:ascii="Avenir Next LT Pro" w:eastAsia="ヒラギノ角ゴ Pro W3" w:hAnsi="Avenir Next LT Pro"/>
                <w:color w:val="000000"/>
                <w:sz w:val="20"/>
                <w:szCs w:val="20"/>
              </w:rPr>
              <w:t>those reported in H4A</w:t>
            </w:r>
            <w:r w:rsidRPr="004D40EA">
              <w:rPr>
                <w:rFonts w:ascii="Avenir Next LT Pro" w:hAnsi="Avenir Next LT Pro"/>
                <w:sz w:val="20"/>
                <w:szCs w:val="20"/>
              </w:rPr>
              <w:t>, V1, V7A, or V8</w:t>
            </w:r>
          </w:p>
        </w:tc>
      </w:tr>
      <w:tr w:rsidR="0041126D" w:rsidRPr="004D40EA" w14:paraId="59BA8B69" w14:textId="77777777">
        <w:trPr>
          <w:trHeight w:val="255"/>
        </w:trPr>
        <w:tc>
          <w:tcPr>
            <w:tcW w:w="1728" w:type="dxa"/>
            <w:shd w:val="clear" w:color="auto" w:fill="auto"/>
          </w:tcPr>
          <w:p w14:paraId="061CD1C7"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How to Measure/ </w:t>
            </w:r>
          </w:p>
          <w:p w14:paraId="1AA8764B"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Collect Data</w:t>
            </w:r>
          </w:p>
        </w:tc>
        <w:tc>
          <w:tcPr>
            <w:tcW w:w="7646" w:type="dxa"/>
            <w:shd w:val="clear" w:color="auto" w:fill="auto"/>
          </w:tcPr>
          <w:p w14:paraId="4BCEDB29"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 xml:space="preserve">Assessment by a healthcare professional, survey, or other instrument capable of measuring changes in health condition at the individual beneficiary level.  When possible, pre-post assessments should be utilized. </w:t>
            </w:r>
          </w:p>
        </w:tc>
      </w:tr>
    </w:tbl>
    <w:p w14:paraId="64831AFA"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14AECEE0" w14:textId="77777777" w:rsidR="0041126D" w:rsidRPr="004D40EA" w:rsidRDefault="0041126D" w:rsidP="0041126D">
      <w:pPr>
        <w:spacing w:after="0" w:line="240" w:lineRule="auto"/>
        <w:contextualSpacing/>
        <w:rPr>
          <w:rFonts w:ascii="Avenir Next LT Pro" w:hAnsi="Avenir Next LT Pro"/>
          <w:bCs/>
          <w:kern w:val="32"/>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46"/>
      </w:tblGrid>
      <w:tr w:rsidR="0041126D" w:rsidRPr="004D40EA" w14:paraId="3C8D21F4" w14:textId="77777777">
        <w:trPr>
          <w:trHeight w:val="332"/>
        </w:trPr>
        <w:tc>
          <w:tcPr>
            <w:tcW w:w="1728" w:type="dxa"/>
            <w:shd w:val="clear" w:color="auto" w:fill="auto"/>
          </w:tcPr>
          <w:p w14:paraId="114329FD"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H20 (outcome)</w:t>
            </w:r>
          </w:p>
        </w:tc>
        <w:tc>
          <w:tcPr>
            <w:tcW w:w="7646" w:type="dxa"/>
            <w:shd w:val="clear" w:color="auto" w:fill="auto"/>
          </w:tcPr>
          <w:p w14:paraId="58AE94BE"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Number of individuals with improved access to medical care</w:t>
            </w:r>
          </w:p>
        </w:tc>
      </w:tr>
      <w:tr w:rsidR="0041126D" w:rsidRPr="004D40EA" w14:paraId="2AD366BD" w14:textId="77777777">
        <w:trPr>
          <w:trHeight w:val="485"/>
        </w:trPr>
        <w:tc>
          <w:tcPr>
            <w:tcW w:w="1728" w:type="dxa"/>
            <w:shd w:val="clear" w:color="auto" w:fill="auto"/>
          </w:tcPr>
          <w:p w14:paraId="0D5C5AD2"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Definition of </w:t>
            </w:r>
          </w:p>
          <w:p w14:paraId="2B14E137"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Key Terms</w:t>
            </w:r>
          </w:p>
        </w:tc>
        <w:tc>
          <w:tcPr>
            <w:tcW w:w="7646" w:type="dxa"/>
            <w:shd w:val="clear" w:color="auto" w:fill="auto"/>
          </w:tcPr>
          <w:p w14:paraId="5B10B3ED"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
                <w:bCs/>
                <w:kern w:val="32"/>
                <w:sz w:val="20"/>
                <w:szCs w:val="20"/>
              </w:rPr>
              <w:t xml:space="preserve">Individuals: </w:t>
            </w:r>
            <w:r w:rsidRPr="004D40EA">
              <w:rPr>
                <w:rFonts w:ascii="Avenir Next LT Pro" w:hAnsi="Avenir Next LT Pro"/>
                <w:bCs/>
                <w:kern w:val="32"/>
                <w:sz w:val="20"/>
                <w:szCs w:val="20"/>
              </w:rPr>
              <w:t>those reported in H4A</w:t>
            </w:r>
            <w:r w:rsidRPr="004D40EA">
              <w:rPr>
                <w:rFonts w:ascii="Avenir Next LT Pro" w:hAnsi="Avenir Next LT Pro"/>
                <w:sz w:val="20"/>
                <w:szCs w:val="20"/>
              </w:rPr>
              <w:t>, V1, V7A, or V8</w:t>
            </w:r>
          </w:p>
        </w:tc>
      </w:tr>
      <w:tr w:rsidR="0041126D" w:rsidRPr="004D40EA" w14:paraId="599A777D" w14:textId="77777777">
        <w:trPr>
          <w:trHeight w:val="255"/>
        </w:trPr>
        <w:tc>
          <w:tcPr>
            <w:tcW w:w="1728" w:type="dxa"/>
            <w:shd w:val="clear" w:color="auto" w:fill="auto"/>
          </w:tcPr>
          <w:p w14:paraId="0B1919C2"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 xml:space="preserve">How to Measure/ </w:t>
            </w:r>
          </w:p>
          <w:p w14:paraId="5CFDEAB0" w14:textId="77777777" w:rsidR="0041126D" w:rsidRPr="004D40EA" w:rsidRDefault="0041126D">
            <w:pPr>
              <w:spacing w:after="0" w:line="240" w:lineRule="auto"/>
              <w:contextualSpacing/>
              <w:rPr>
                <w:rFonts w:ascii="Avenir Next LT Pro" w:hAnsi="Avenir Next LT Pro"/>
                <w:b/>
                <w:bCs/>
                <w:kern w:val="32"/>
                <w:sz w:val="20"/>
                <w:szCs w:val="20"/>
              </w:rPr>
            </w:pPr>
            <w:r w:rsidRPr="004D40EA">
              <w:rPr>
                <w:rFonts w:ascii="Avenir Next LT Pro" w:hAnsi="Avenir Next LT Pro"/>
                <w:b/>
                <w:bCs/>
                <w:kern w:val="32"/>
                <w:sz w:val="20"/>
                <w:szCs w:val="20"/>
              </w:rPr>
              <w:t>Collect Data</w:t>
            </w:r>
          </w:p>
        </w:tc>
        <w:tc>
          <w:tcPr>
            <w:tcW w:w="7646" w:type="dxa"/>
            <w:shd w:val="clear" w:color="auto" w:fill="auto"/>
          </w:tcPr>
          <w:p w14:paraId="14213928" w14:textId="77777777" w:rsidR="0041126D" w:rsidRPr="004D40EA" w:rsidRDefault="0041126D">
            <w:pPr>
              <w:spacing w:after="0" w:line="240" w:lineRule="auto"/>
              <w:contextualSpacing/>
              <w:rPr>
                <w:rFonts w:ascii="Avenir Next LT Pro" w:hAnsi="Avenir Next LT Pro"/>
                <w:bCs/>
                <w:kern w:val="32"/>
                <w:sz w:val="20"/>
                <w:szCs w:val="20"/>
              </w:rPr>
            </w:pPr>
            <w:r w:rsidRPr="004D40EA">
              <w:rPr>
                <w:rFonts w:ascii="Avenir Next LT Pro" w:hAnsi="Avenir Next LT Pro"/>
                <w:bCs/>
                <w:kern w:val="32"/>
                <w:sz w:val="20"/>
                <w:szCs w:val="20"/>
              </w:rPr>
              <w:t xml:space="preserve">Survey, interview, caseworker assessment, or other instrument capable of measuring changes in health care access at the individual beneficiary level.  When possible, pre-post assessments should be utilized. </w:t>
            </w:r>
          </w:p>
        </w:tc>
      </w:tr>
    </w:tbl>
    <w:p w14:paraId="15E6ECF3"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571CE764" w14:textId="77777777" w:rsidR="0041126D" w:rsidRPr="004D40EA" w:rsidRDefault="0041126D" w:rsidP="0041126D">
      <w:pPr>
        <w:spacing w:after="0" w:line="240" w:lineRule="auto"/>
        <w:contextualSpacing/>
        <w:rPr>
          <w:rFonts w:ascii="Avenir Next LT Pro" w:hAnsi="Avenir Next LT Pro"/>
          <w:sz w:val="20"/>
          <w:szCs w:val="20"/>
        </w:rPr>
      </w:pPr>
    </w:p>
    <w:p w14:paraId="0AE5BB40" w14:textId="77777777" w:rsidR="0041126D" w:rsidRPr="004D40EA" w:rsidRDefault="0041126D" w:rsidP="0041126D">
      <w:pPr>
        <w:spacing w:after="0" w:line="240" w:lineRule="auto"/>
        <w:contextualSpacing/>
        <w:rPr>
          <w:rFonts w:ascii="Avenir Next LT Pro" w:hAnsi="Avenir Next LT Pro"/>
          <w:bCs/>
          <w:kern w:val="32"/>
          <w:sz w:val="20"/>
          <w:szCs w:val="20"/>
        </w:rPr>
      </w:pPr>
    </w:p>
    <w:p w14:paraId="2A4D4A83" w14:textId="77777777" w:rsidR="0041126D" w:rsidRPr="004D40EA" w:rsidRDefault="0041126D" w:rsidP="0041126D">
      <w:pPr>
        <w:pStyle w:val="Style2"/>
        <w:rPr>
          <w:rFonts w:ascii="Avenir Next LT Pro" w:eastAsia="ヒラギノ角ゴ Pro W3" w:hAnsi="Avenir Next LT Pro"/>
          <w:color w:val="000000"/>
        </w:rPr>
      </w:pPr>
      <w:r w:rsidRPr="004D40EA">
        <w:rPr>
          <w:rFonts w:ascii="Avenir Next LT Pro" w:hAnsi="Avenir Next LT Pro"/>
        </w:rPr>
        <w:br w:type="page"/>
      </w:r>
      <w:bookmarkStart w:id="36" w:name="_Toc518377556"/>
      <w:r w:rsidRPr="004D40EA">
        <w:rPr>
          <w:rStyle w:val="Strong1"/>
          <w:rFonts w:ascii="Avenir Next LT Pro" w:hAnsi="Avenir Next LT Pro"/>
        </w:rPr>
        <w:lastRenderedPageBreak/>
        <w:t>VETERANS AND MILITARY FAMILIES</w:t>
      </w:r>
      <w:bookmarkEnd w:id="36"/>
    </w:p>
    <w:p w14:paraId="72304945" w14:textId="77777777" w:rsidR="0041126D" w:rsidRPr="004D40EA" w:rsidRDefault="0041126D" w:rsidP="0041126D">
      <w:pPr>
        <w:spacing w:after="0" w:line="240" w:lineRule="auto"/>
        <w:contextualSpacing/>
        <w:rPr>
          <w:rFonts w:ascii="Avenir Next LT Pro" w:eastAsia="ヒラギノ角ゴ Pro W3" w:hAnsi="Avenir Next LT Pro"/>
          <w:b/>
          <w:color w:val="000000"/>
          <w:sz w:val="20"/>
          <w:szCs w:val="20"/>
        </w:rPr>
      </w:pPr>
    </w:p>
    <w:p w14:paraId="4177D96C" w14:textId="77777777" w:rsidR="0041126D" w:rsidRPr="004D40EA" w:rsidRDefault="0041126D" w:rsidP="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Focus Area Notes </w:t>
      </w:r>
    </w:p>
    <w:p w14:paraId="2DDCD9BB"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Programs should only opt into the Veterans and Military Families performance measures if the measures reflect significant program activities aligned with the applicant’s core theory of change.  </w:t>
      </w:r>
    </w:p>
    <w:p w14:paraId="0C999814"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All individuals counted under these measures must be program beneficiaries, not National Service Participants.  National Service Participant outputs and outcomes should be reported in the </w:t>
      </w:r>
      <w:r w:rsidRPr="004D40EA">
        <w:rPr>
          <w:rFonts w:ascii="Avenir Next LT Pro" w:hAnsi="Avenir Next LT Pro"/>
          <w:sz w:val="20"/>
          <w:szCs w:val="20"/>
        </w:rPr>
        <w:t>Performance Data Elements in annual Progress Reports</w:t>
      </w:r>
      <w:r w:rsidRPr="004D40EA">
        <w:rPr>
          <w:rFonts w:ascii="Avenir Next LT Pro" w:eastAsia="ヒラギノ角ゴ Pro W3" w:hAnsi="Avenir Next LT Pro"/>
          <w:color w:val="000000"/>
          <w:sz w:val="20"/>
          <w:szCs w:val="20"/>
        </w:rPr>
        <w:t>.</w:t>
      </w:r>
    </w:p>
    <w:p w14:paraId="7B6BF321" w14:textId="77777777" w:rsidR="0041126D" w:rsidRPr="004D40EA" w:rsidRDefault="0041126D" w:rsidP="0041126D">
      <w:pPr>
        <w:numPr>
          <w:ilvl w:val="0"/>
          <w:numId w:val="1"/>
        </w:num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Activities associated with these measures must be carried out by National Service Participants or by volunteers directly recruited and/or supported by National Service Participants.</w:t>
      </w:r>
      <w:r w:rsidRPr="004D40EA">
        <w:rPr>
          <w:rFonts w:ascii="Avenir Next LT Pro" w:eastAsia="ヒラギノ角ゴ Pro W3" w:hAnsi="Avenir Next LT Pro"/>
          <w:color w:val="000000"/>
          <w:sz w:val="20"/>
          <w:szCs w:val="20"/>
        </w:rPr>
        <w:br/>
      </w:r>
    </w:p>
    <w:p w14:paraId="775B3E35"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7747"/>
      </w:tblGrid>
      <w:tr w:rsidR="0041126D" w:rsidRPr="004D40EA" w14:paraId="188F52CD" w14:textId="77777777">
        <w:tc>
          <w:tcPr>
            <w:tcW w:w="1627" w:type="dxa"/>
            <w:shd w:val="clear" w:color="auto" w:fill="auto"/>
          </w:tcPr>
          <w:p w14:paraId="026E75F6"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bookmarkStart w:id="37" w:name="V1"/>
            <w:r w:rsidRPr="004D40EA">
              <w:rPr>
                <w:rFonts w:ascii="Avenir Next LT Pro" w:eastAsia="ヒラギノ角ゴ Pro W3" w:hAnsi="Avenir Next LT Pro"/>
                <w:b/>
                <w:color w:val="000000"/>
                <w:sz w:val="20"/>
                <w:szCs w:val="20"/>
              </w:rPr>
              <w:t>V1</w:t>
            </w:r>
            <w:bookmarkEnd w:id="37"/>
            <w:r w:rsidRPr="004D40EA">
              <w:rPr>
                <w:rFonts w:ascii="Avenir Next LT Pro" w:eastAsia="ヒラギノ角ゴ Pro W3" w:hAnsi="Avenir Next LT Pro"/>
                <w:b/>
                <w:color w:val="000000"/>
                <w:sz w:val="20"/>
                <w:szCs w:val="20"/>
              </w:rPr>
              <w:t xml:space="preserve"> (output)</w:t>
            </w:r>
          </w:p>
        </w:tc>
        <w:tc>
          <w:tcPr>
            <w:tcW w:w="7747" w:type="dxa"/>
            <w:shd w:val="clear" w:color="auto" w:fill="auto"/>
          </w:tcPr>
          <w:p w14:paraId="62B017D6"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veterans served</w:t>
            </w:r>
          </w:p>
        </w:tc>
      </w:tr>
      <w:tr w:rsidR="0041126D" w:rsidRPr="004D40EA" w14:paraId="2C1A98FB" w14:textId="77777777">
        <w:trPr>
          <w:trHeight w:val="1187"/>
        </w:trPr>
        <w:tc>
          <w:tcPr>
            <w:tcW w:w="1627" w:type="dxa"/>
            <w:shd w:val="clear" w:color="auto" w:fill="auto"/>
          </w:tcPr>
          <w:p w14:paraId="4D6835B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31E1DD57"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747" w:type="dxa"/>
            <w:shd w:val="clear" w:color="auto" w:fill="auto"/>
          </w:tcPr>
          <w:p w14:paraId="40F511F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Veteran:</w:t>
            </w:r>
            <w:r w:rsidRPr="004D40EA">
              <w:rPr>
                <w:rFonts w:ascii="Avenir Next LT Pro" w:eastAsia="ヒラギノ角ゴ Pro W3" w:hAnsi="Avenir Next LT Pro"/>
                <w:color w:val="000000"/>
                <w:sz w:val="20"/>
                <w:szCs w:val="20"/>
              </w:rPr>
              <w:t xml:space="preserve"> a person who served in the active military, naval, or air service, and who was discharged or released therefrom under conditions other than dishonorable [Section 101 of Title 38, 23 United States Code] </w:t>
            </w:r>
          </w:p>
          <w:p w14:paraId="14C030B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lang w:val="en"/>
              </w:rPr>
              <w:t>Served:</w:t>
            </w:r>
            <w:r w:rsidRPr="004D40EA">
              <w:rPr>
                <w:rFonts w:ascii="Avenir Next LT Pro" w:eastAsia="ヒラギノ角ゴ Pro W3" w:hAnsi="Avenir Next LT Pro"/>
                <w:color w:val="000000"/>
                <w:sz w:val="20"/>
                <w:szCs w:val="20"/>
                <w:lang w:val="en"/>
              </w:rPr>
              <w:t xml:space="preserve"> </w:t>
            </w:r>
            <w:r w:rsidRPr="004D40EA">
              <w:rPr>
                <w:rFonts w:ascii="Avenir Next LT Pro" w:eastAsia="ヒラギノ角ゴ Pro W3" w:hAnsi="Avenir Next LT Pro"/>
                <w:color w:val="000000"/>
                <w:sz w:val="20"/>
                <w:szCs w:val="20"/>
              </w:rPr>
              <w:t>substantive engagement of individuals with specific outcome(s) in mind.  Cannot consist solely of mass dissemination of information such as email blasts, social media posts, or distributing pamphlets.</w:t>
            </w:r>
          </w:p>
        </w:tc>
      </w:tr>
      <w:tr w:rsidR="0041126D" w:rsidRPr="004D40EA" w14:paraId="6F7E08DA" w14:textId="77777777">
        <w:trPr>
          <w:trHeight w:val="470"/>
        </w:trPr>
        <w:tc>
          <w:tcPr>
            <w:tcW w:w="1627" w:type="dxa"/>
            <w:shd w:val="clear" w:color="auto" w:fill="auto"/>
          </w:tcPr>
          <w:p w14:paraId="136B9241"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20D67C84"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bCs/>
                <w:color w:val="000000"/>
                <w:sz w:val="20"/>
                <w:szCs w:val="20"/>
              </w:rPr>
              <w:t>Collect Data</w:t>
            </w:r>
          </w:p>
        </w:tc>
        <w:tc>
          <w:tcPr>
            <w:tcW w:w="7747" w:type="dxa"/>
            <w:shd w:val="clear" w:color="auto" w:fill="auto"/>
          </w:tcPr>
          <w:p w14:paraId="5F739092"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51268EE7" w14:textId="77777777" w:rsidR="0041126D" w:rsidRPr="004D40EA" w:rsidRDefault="0041126D" w:rsidP="0041126D">
      <w:pPr>
        <w:spacing w:after="0" w:line="240" w:lineRule="auto"/>
        <w:contextualSpacing/>
        <w:rPr>
          <w:rFonts w:ascii="Avenir Next LT Pro" w:eastAsia="ヒラギノ角ゴ Pro W3" w:hAnsi="Avenir Next LT Pro"/>
          <w:color w:val="000000"/>
          <w:sz w:val="20"/>
          <w:szCs w:val="20"/>
        </w:rPr>
      </w:pPr>
    </w:p>
    <w:p w14:paraId="4F45098F"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7747"/>
      </w:tblGrid>
      <w:tr w:rsidR="0041126D" w:rsidRPr="004D40EA" w14:paraId="0B7A850A" w14:textId="77777777">
        <w:trPr>
          <w:trHeight w:val="330"/>
        </w:trPr>
        <w:tc>
          <w:tcPr>
            <w:tcW w:w="1627" w:type="dxa"/>
            <w:shd w:val="clear" w:color="auto" w:fill="auto"/>
          </w:tcPr>
          <w:p w14:paraId="268CA46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br w:type="page"/>
            </w:r>
            <w:bookmarkStart w:id="38" w:name="V7"/>
            <w:r w:rsidRPr="004D40EA">
              <w:rPr>
                <w:rFonts w:ascii="Avenir Next LT Pro" w:eastAsia="ヒラギノ角ゴ Pro W3" w:hAnsi="Avenir Next LT Pro"/>
                <w:b/>
                <w:color w:val="000000"/>
                <w:sz w:val="20"/>
                <w:szCs w:val="20"/>
              </w:rPr>
              <w:t>V7</w:t>
            </w:r>
            <w:bookmarkEnd w:id="38"/>
            <w:r w:rsidRPr="004D40EA">
              <w:rPr>
                <w:rFonts w:ascii="Avenir Next LT Pro" w:eastAsia="ヒラギノ角ゴ Pro W3" w:hAnsi="Avenir Next LT Pro"/>
                <w:b/>
                <w:color w:val="000000"/>
                <w:sz w:val="20"/>
                <w:szCs w:val="20"/>
              </w:rPr>
              <w:t>A (output)</w:t>
            </w:r>
          </w:p>
        </w:tc>
        <w:tc>
          <w:tcPr>
            <w:tcW w:w="7747" w:type="dxa"/>
            <w:shd w:val="clear" w:color="auto" w:fill="auto"/>
          </w:tcPr>
          <w:p w14:paraId="7C8B6A5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 xml:space="preserve">Number of </w:t>
            </w:r>
            <w:proofErr w:type="gramStart"/>
            <w:r w:rsidRPr="004D40EA">
              <w:rPr>
                <w:rFonts w:ascii="Avenir Next LT Pro" w:eastAsia="ヒラギノ角ゴ Pro W3" w:hAnsi="Avenir Next LT Pro"/>
                <w:color w:val="000000"/>
                <w:sz w:val="20"/>
                <w:szCs w:val="20"/>
              </w:rPr>
              <w:t>active duty</w:t>
            </w:r>
            <w:proofErr w:type="gramEnd"/>
            <w:r w:rsidRPr="004D40EA">
              <w:rPr>
                <w:rFonts w:ascii="Avenir Next LT Pro" w:eastAsia="ヒラギノ角ゴ Pro W3" w:hAnsi="Avenir Next LT Pro"/>
                <w:color w:val="000000"/>
                <w:sz w:val="20"/>
                <w:szCs w:val="20"/>
              </w:rPr>
              <w:t xml:space="preserve"> military service members and/or military family members served</w:t>
            </w:r>
          </w:p>
        </w:tc>
      </w:tr>
      <w:tr w:rsidR="0041126D" w:rsidRPr="004D40EA" w14:paraId="2C5B2230" w14:textId="77777777">
        <w:tc>
          <w:tcPr>
            <w:tcW w:w="1627" w:type="dxa"/>
            <w:shd w:val="clear" w:color="auto" w:fill="auto"/>
          </w:tcPr>
          <w:p w14:paraId="764E7B6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 xml:space="preserve">Definition of </w:t>
            </w:r>
          </w:p>
          <w:p w14:paraId="3BE186D9"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747" w:type="dxa"/>
            <w:shd w:val="clear" w:color="auto" w:fill="auto"/>
          </w:tcPr>
          <w:p w14:paraId="55FEF7B1" w14:textId="77777777" w:rsidR="0041126D" w:rsidRPr="004D40EA" w:rsidRDefault="0041126D">
            <w:pPr>
              <w:autoSpaceDE w:val="0"/>
              <w:autoSpaceDN w:val="0"/>
              <w:adjustRightInd w:val="0"/>
              <w:spacing w:after="0" w:line="240" w:lineRule="auto"/>
              <w:contextualSpacing/>
              <w:rPr>
                <w:rFonts w:ascii="Avenir Next LT Pro" w:eastAsia="Times New Roman" w:hAnsi="Avenir Next LT Pro"/>
                <w:sz w:val="20"/>
                <w:szCs w:val="20"/>
              </w:rPr>
            </w:pPr>
            <w:proofErr w:type="gramStart"/>
            <w:r w:rsidRPr="004D40EA">
              <w:rPr>
                <w:rFonts w:ascii="Avenir Next LT Pro" w:eastAsia="ヒラギノ角ゴ Pro W3" w:hAnsi="Avenir Next LT Pro"/>
                <w:b/>
                <w:color w:val="000000"/>
                <w:sz w:val="20"/>
                <w:szCs w:val="20"/>
              </w:rPr>
              <w:t>Active duty</w:t>
            </w:r>
            <w:proofErr w:type="gramEnd"/>
            <w:r w:rsidRPr="004D40EA">
              <w:rPr>
                <w:rFonts w:ascii="Avenir Next LT Pro" w:eastAsia="ヒラギノ角ゴ Pro W3" w:hAnsi="Avenir Next LT Pro"/>
                <w:b/>
                <w:color w:val="000000"/>
                <w:sz w:val="20"/>
                <w:szCs w:val="20"/>
              </w:rPr>
              <w:t xml:space="preserve"> military service member</w:t>
            </w:r>
            <w:r w:rsidRPr="004D40EA">
              <w:rPr>
                <w:rFonts w:ascii="Avenir Next LT Pro" w:eastAsia="ヒラギノ角ゴ Pro W3" w:hAnsi="Avenir Next LT Pro"/>
                <w:color w:val="000000"/>
                <w:sz w:val="20"/>
                <w:szCs w:val="20"/>
              </w:rPr>
              <w:t>: The term ‘‘active duty’’ means</w:t>
            </w:r>
            <w:r w:rsidRPr="004D40EA">
              <w:rPr>
                <w:rFonts w:ascii="Avenir Next LT Pro" w:eastAsia="Times New Roman" w:hAnsi="Avenir Next LT Pro"/>
                <w:sz w:val="20"/>
                <w:szCs w:val="20"/>
              </w:rPr>
              <w:t xml:space="preserve"> “full-time duty in the active military service of the United States, including active duty or full-time training duty in the Reserve Component” [DOD Dictionary of Military and Associated Terms, April 2018].  </w:t>
            </w:r>
            <w:r w:rsidRPr="004D40EA">
              <w:rPr>
                <w:rFonts w:ascii="Avenir Next LT Pro" w:eastAsia="ヒラギノ角ゴ Pro W3" w:hAnsi="Avenir Next LT Pro"/>
                <w:sz w:val="20"/>
                <w:szCs w:val="20"/>
              </w:rPr>
              <w:t>AmeriCorps considers National Guard members and reservists and wounded warriors</w:t>
            </w:r>
            <w:r w:rsidRPr="004D40EA">
              <w:rPr>
                <w:rFonts w:ascii="Avenir Next LT Pro" w:eastAsia="ヒラギノ角ゴ Pro W3" w:hAnsi="Avenir Next LT Pro"/>
                <w:b/>
                <w:sz w:val="20"/>
                <w:szCs w:val="20"/>
              </w:rPr>
              <w:t xml:space="preserve"> </w:t>
            </w:r>
            <w:r w:rsidRPr="004D40EA">
              <w:rPr>
                <w:rFonts w:ascii="Avenir Next LT Pro" w:eastAsia="ヒラギノ角ゴ Pro W3" w:hAnsi="Avenir Next LT Pro"/>
                <w:sz w:val="20"/>
                <w:szCs w:val="20"/>
              </w:rPr>
              <w:t xml:space="preserve">sub-groups of </w:t>
            </w:r>
            <w:proofErr w:type="gramStart"/>
            <w:r w:rsidRPr="004D40EA">
              <w:rPr>
                <w:rFonts w:ascii="Avenir Next LT Pro" w:eastAsia="ヒラギノ角ゴ Pro W3" w:hAnsi="Avenir Next LT Pro"/>
                <w:sz w:val="20"/>
                <w:szCs w:val="20"/>
              </w:rPr>
              <w:t>active duty</w:t>
            </w:r>
            <w:proofErr w:type="gramEnd"/>
            <w:r w:rsidRPr="004D40EA">
              <w:rPr>
                <w:rFonts w:ascii="Avenir Next LT Pro" w:eastAsia="ヒラギノ角ゴ Pro W3" w:hAnsi="Avenir Next LT Pro"/>
                <w:sz w:val="20"/>
                <w:szCs w:val="20"/>
              </w:rPr>
              <w:t xml:space="preserve"> military service members for the purposes of grant applications and performance measure reporting.</w:t>
            </w:r>
          </w:p>
          <w:p w14:paraId="3171185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Military family member:</w:t>
            </w:r>
            <w:r w:rsidRPr="004D40EA">
              <w:rPr>
                <w:rFonts w:ascii="Avenir Next LT Pro" w:eastAsia="ヒラギノ角ゴ Pro W3" w:hAnsi="Avenir Next LT Pro"/>
                <w:color w:val="000000"/>
                <w:sz w:val="20"/>
                <w:szCs w:val="20"/>
              </w:rPr>
              <w:t xml:space="preserve"> Immediate family member related by blood, marriage, or adoption to a current member of the U.S. armed forces including one who is deceased. </w:t>
            </w:r>
          </w:p>
          <w:p w14:paraId="5AC0AA89" w14:textId="77777777" w:rsidR="0041126D" w:rsidRPr="004D40EA" w:rsidRDefault="0041126D">
            <w:pPr>
              <w:spacing w:after="0" w:line="240" w:lineRule="auto"/>
              <w:contextualSpacing/>
              <w:rPr>
                <w:rFonts w:ascii="Avenir Next LT Pro" w:eastAsia="Times New Roman" w:hAnsi="Avenir Next LT Pro"/>
                <w:sz w:val="20"/>
                <w:szCs w:val="20"/>
              </w:rPr>
            </w:pPr>
            <w:r w:rsidRPr="004D40EA">
              <w:rPr>
                <w:rFonts w:ascii="Avenir Next LT Pro" w:eastAsia="ヒラギノ角ゴ Pro W3" w:hAnsi="Avenir Next LT Pro"/>
                <w:b/>
                <w:color w:val="000000"/>
                <w:sz w:val="20"/>
                <w:szCs w:val="20"/>
                <w:lang w:val="en"/>
              </w:rPr>
              <w:t>Served:</w:t>
            </w:r>
            <w:r w:rsidRPr="004D40EA">
              <w:rPr>
                <w:rFonts w:ascii="Avenir Next LT Pro" w:eastAsia="ヒラギノ角ゴ Pro W3" w:hAnsi="Avenir Next LT Pro"/>
                <w:color w:val="000000"/>
                <w:sz w:val="20"/>
                <w:szCs w:val="20"/>
                <w:lang w:val="en"/>
              </w:rPr>
              <w:t xml:space="preserve"> </w:t>
            </w:r>
            <w:r w:rsidRPr="004D40EA">
              <w:rPr>
                <w:rFonts w:ascii="Avenir Next LT Pro" w:eastAsia="ヒラギノ角ゴ Pro W3" w:hAnsi="Avenir Next LT Pro"/>
                <w:color w:val="000000"/>
                <w:sz w:val="20"/>
                <w:szCs w:val="20"/>
              </w:rPr>
              <w:t>substantive engagement of individuals with specific outcome(s) in mind.  Cannot consist solely of mass dissemination of information such as email blasts, social media posts, or distributing pamphlets.</w:t>
            </w:r>
          </w:p>
        </w:tc>
      </w:tr>
      <w:tr w:rsidR="0041126D" w:rsidRPr="004D40EA" w14:paraId="65A0290B" w14:textId="77777777">
        <w:trPr>
          <w:trHeight w:val="764"/>
        </w:trPr>
        <w:tc>
          <w:tcPr>
            <w:tcW w:w="1627" w:type="dxa"/>
            <w:shd w:val="clear" w:color="auto" w:fill="auto"/>
          </w:tcPr>
          <w:p w14:paraId="3F3B4BCD"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60D7D26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bCs/>
                <w:color w:val="000000"/>
                <w:sz w:val="20"/>
                <w:szCs w:val="20"/>
              </w:rPr>
              <w:t>Collect Data</w:t>
            </w:r>
          </w:p>
        </w:tc>
        <w:tc>
          <w:tcPr>
            <w:tcW w:w="7747" w:type="dxa"/>
            <w:shd w:val="clear" w:color="auto" w:fill="auto"/>
          </w:tcPr>
          <w:p w14:paraId="52B0D9CB"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4C538534" w14:textId="77777777" w:rsidR="0041126D" w:rsidRPr="004D40EA" w:rsidRDefault="0041126D" w:rsidP="0041126D">
      <w:pPr>
        <w:spacing w:after="0" w:line="240" w:lineRule="auto"/>
        <w:contextualSpacing/>
        <w:rPr>
          <w:rFonts w:ascii="Avenir Next LT Pro" w:hAnsi="Avenir Next LT Pro"/>
          <w:sz w:val="20"/>
          <w:szCs w:val="20"/>
        </w:rPr>
      </w:pPr>
    </w:p>
    <w:p w14:paraId="3B29FF8C" w14:textId="77777777" w:rsidR="0041126D" w:rsidRPr="004D40EA" w:rsidRDefault="0041126D" w:rsidP="0041126D">
      <w:pPr>
        <w:spacing w:after="0" w:line="240" w:lineRule="auto"/>
        <w:contextualSpacing/>
        <w:rPr>
          <w:rFonts w:ascii="Avenir Next LT Pro" w:hAnsi="Avenir Next LT Pro"/>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7747"/>
      </w:tblGrid>
      <w:tr w:rsidR="0041126D" w:rsidRPr="004D40EA" w14:paraId="43272AD1" w14:textId="77777777">
        <w:tc>
          <w:tcPr>
            <w:tcW w:w="1627" w:type="dxa"/>
            <w:shd w:val="clear" w:color="auto" w:fill="auto"/>
          </w:tcPr>
          <w:p w14:paraId="553D67AA"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V8 (output)</w:t>
            </w:r>
          </w:p>
        </w:tc>
        <w:tc>
          <w:tcPr>
            <w:tcW w:w="7747" w:type="dxa"/>
            <w:shd w:val="clear" w:color="auto" w:fill="auto"/>
          </w:tcPr>
          <w:p w14:paraId="2FBEBB60"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Number of veteran family members served</w:t>
            </w:r>
          </w:p>
        </w:tc>
      </w:tr>
      <w:tr w:rsidR="0041126D" w:rsidRPr="004D40EA" w14:paraId="555023BA" w14:textId="77777777">
        <w:trPr>
          <w:trHeight w:val="1718"/>
        </w:trPr>
        <w:tc>
          <w:tcPr>
            <w:tcW w:w="1627" w:type="dxa"/>
            <w:shd w:val="clear" w:color="auto" w:fill="auto"/>
          </w:tcPr>
          <w:p w14:paraId="50A25EB4"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lastRenderedPageBreak/>
              <w:t xml:space="preserve">Definition of </w:t>
            </w:r>
          </w:p>
          <w:p w14:paraId="001803E0"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color w:val="000000"/>
                <w:sz w:val="20"/>
                <w:szCs w:val="20"/>
              </w:rPr>
              <w:t>Key Terms</w:t>
            </w:r>
          </w:p>
        </w:tc>
        <w:tc>
          <w:tcPr>
            <w:tcW w:w="7747" w:type="dxa"/>
            <w:shd w:val="clear" w:color="auto" w:fill="auto"/>
          </w:tcPr>
          <w:p w14:paraId="34594BBE"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Veteran:</w:t>
            </w:r>
            <w:r w:rsidRPr="004D40EA">
              <w:rPr>
                <w:rFonts w:ascii="Avenir Next LT Pro" w:eastAsia="ヒラギノ角ゴ Pro W3" w:hAnsi="Avenir Next LT Pro"/>
                <w:color w:val="000000"/>
                <w:sz w:val="20"/>
                <w:szCs w:val="20"/>
              </w:rPr>
              <w:t xml:space="preserve"> a person who served in the active military, naval, or air service, and who was discharged or released therefrom under conditions other than dishonorable [Section 101 of Title 38, 23 United States Code] </w:t>
            </w:r>
          </w:p>
          <w:p w14:paraId="60BB87AC"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b/>
                <w:color w:val="000000"/>
                <w:sz w:val="20"/>
                <w:szCs w:val="20"/>
              </w:rPr>
              <w:t xml:space="preserve">Veteran family member: </w:t>
            </w:r>
            <w:r w:rsidRPr="004D40EA">
              <w:rPr>
                <w:rFonts w:ascii="Avenir Next LT Pro" w:eastAsia="ヒラギノ角ゴ Pro W3" w:hAnsi="Avenir Next LT Pro"/>
                <w:color w:val="000000"/>
                <w:sz w:val="20"/>
                <w:szCs w:val="20"/>
              </w:rPr>
              <w:t>Immediate family member related by blood, marriage, or adoption to a veteran, including one who is deceased.</w:t>
            </w:r>
          </w:p>
          <w:p w14:paraId="1550BC2F" w14:textId="77777777" w:rsidR="0041126D" w:rsidRPr="004D40EA" w:rsidRDefault="0041126D">
            <w:pPr>
              <w:spacing w:after="0" w:line="240" w:lineRule="auto"/>
              <w:contextualSpacing/>
              <w:rPr>
                <w:rFonts w:ascii="Avenir Next LT Pro" w:eastAsia="ヒラギノ角ゴ Pro W3" w:hAnsi="Avenir Next LT Pro"/>
                <w:sz w:val="20"/>
                <w:szCs w:val="20"/>
              </w:rPr>
            </w:pPr>
            <w:r w:rsidRPr="004D40EA">
              <w:rPr>
                <w:rFonts w:ascii="Avenir Next LT Pro" w:eastAsia="ヒラギノ角ゴ Pro W3" w:hAnsi="Avenir Next LT Pro"/>
                <w:b/>
                <w:color w:val="000000"/>
                <w:sz w:val="20"/>
                <w:szCs w:val="20"/>
                <w:lang w:val="en"/>
              </w:rPr>
              <w:t>Served:</w:t>
            </w:r>
            <w:r w:rsidRPr="004D40EA">
              <w:rPr>
                <w:rFonts w:ascii="Avenir Next LT Pro" w:eastAsia="ヒラギノ角ゴ Pro W3" w:hAnsi="Avenir Next LT Pro"/>
                <w:color w:val="000000"/>
                <w:sz w:val="20"/>
                <w:szCs w:val="20"/>
                <w:lang w:val="en"/>
              </w:rPr>
              <w:t xml:space="preserve"> </w:t>
            </w:r>
            <w:r w:rsidRPr="004D40EA">
              <w:rPr>
                <w:rFonts w:ascii="Avenir Next LT Pro" w:eastAsia="ヒラギノ角ゴ Pro W3" w:hAnsi="Avenir Next LT Pro"/>
                <w:color w:val="000000"/>
                <w:sz w:val="20"/>
                <w:szCs w:val="20"/>
              </w:rPr>
              <w:t>substantive engagement of individuals with specific outcome(s) in mind.  Cannot consist solely of mass dissemination of information such as email blasts, social media posts, or distributing pamphlets.</w:t>
            </w:r>
          </w:p>
        </w:tc>
      </w:tr>
      <w:tr w:rsidR="0041126D" w:rsidRPr="004D40EA" w14:paraId="7E2932A9" w14:textId="77777777">
        <w:trPr>
          <w:trHeight w:val="764"/>
        </w:trPr>
        <w:tc>
          <w:tcPr>
            <w:tcW w:w="1627" w:type="dxa"/>
            <w:shd w:val="clear" w:color="auto" w:fill="auto"/>
          </w:tcPr>
          <w:p w14:paraId="7E776970" w14:textId="77777777" w:rsidR="0041126D" w:rsidRPr="004D40EA" w:rsidRDefault="0041126D">
            <w:pPr>
              <w:spacing w:after="0" w:line="240" w:lineRule="auto"/>
              <w:contextualSpacing/>
              <w:rPr>
                <w:rFonts w:ascii="Avenir Next LT Pro" w:eastAsia="ヒラギノ角ゴ Pro W3" w:hAnsi="Avenir Next LT Pro"/>
                <w:b/>
                <w:bCs/>
                <w:color w:val="000000"/>
                <w:sz w:val="20"/>
                <w:szCs w:val="20"/>
              </w:rPr>
            </w:pPr>
            <w:r w:rsidRPr="004D40EA">
              <w:rPr>
                <w:rFonts w:ascii="Avenir Next LT Pro" w:eastAsia="ヒラギノ角ゴ Pro W3" w:hAnsi="Avenir Next LT Pro"/>
                <w:b/>
                <w:bCs/>
                <w:color w:val="000000"/>
                <w:sz w:val="20"/>
                <w:szCs w:val="20"/>
              </w:rPr>
              <w:t xml:space="preserve">How to Measure/ </w:t>
            </w:r>
          </w:p>
          <w:p w14:paraId="4614E9D8" w14:textId="77777777" w:rsidR="0041126D" w:rsidRPr="004D40EA" w:rsidRDefault="0041126D">
            <w:pPr>
              <w:spacing w:after="0" w:line="240" w:lineRule="auto"/>
              <w:contextualSpacing/>
              <w:rPr>
                <w:rFonts w:ascii="Avenir Next LT Pro" w:eastAsia="ヒラギノ角ゴ Pro W3" w:hAnsi="Avenir Next LT Pro"/>
                <w:b/>
                <w:color w:val="000000"/>
                <w:sz w:val="20"/>
                <w:szCs w:val="20"/>
              </w:rPr>
            </w:pPr>
            <w:r w:rsidRPr="004D40EA">
              <w:rPr>
                <w:rFonts w:ascii="Avenir Next LT Pro" w:eastAsia="ヒラギノ角ゴ Pro W3" w:hAnsi="Avenir Next LT Pro"/>
                <w:b/>
                <w:bCs/>
                <w:color w:val="000000"/>
                <w:sz w:val="20"/>
                <w:szCs w:val="20"/>
              </w:rPr>
              <w:t>Collect Data</w:t>
            </w:r>
          </w:p>
        </w:tc>
        <w:tc>
          <w:tcPr>
            <w:tcW w:w="7747" w:type="dxa"/>
            <w:shd w:val="clear" w:color="auto" w:fill="auto"/>
          </w:tcPr>
          <w:p w14:paraId="2B5BDC8F" w14:textId="77777777" w:rsidR="0041126D" w:rsidRPr="004D40EA" w:rsidRDefault="0041126D">
            <w:pPr>
              <w:spacing w:after="0" w:line="240" w:lineRule="auto"/>
              <w:contextualSpacing/>
              <w:rPr>
                <w:rFonts w:ascii="Avenir Next LT Pro" w:eastAsia="ヒラギノ角ゴ Pro W3" w:hAnsi="Avenir Next LT Pro"/>
                <w:color w:val="000000"/>
                <w:sz w:val="20"/>
                <w:szCs w:val="20"/>
              </w:rPr>
            </w:pPr>
            <w:r w:rsidRPr="004D40EA">
              <w:rPr>
                <w:rFonts w:ascii="Avenir Next LT Pro" w:eastAsia="ヒラギノ角ゴ Pro W3" w:hAnsi="Avenir Next LT Pro"/>
                <w:color w:val="000000"/>
                <w:sz w:val="20"/>
                <w:szCs w:val="20"/>
              </w:rPr>
              <w:t>Tracking mechanism that ensures an unduplicated count of individuals who have received services</w:t>
            </w:r>
          </w:p>
        </w:tc>
      </w:tr>
    </w:tbl>
    <w:p w14:paraId="0D897FFF" w14:textId="77777777" w:rsidR="0041126D" w:rsidRPr="004D40EA" w:rsidRDefault="0041126D" w:rsidP="0041126D">
      <w:pPr>
        <w:spacing w:after="0" w:line="240" w:lineRule="auto"/>
        <w:contextualSpacing/>
        <w:rPr>
          <w:rFonts w:ascii="Avenir Next LT Pro" w:hAnsi="Avenir Next LT Pro"/>
          <w:sz w:val="20"/>
          <w:szCs w:val="20"/>
        </w:rPr>
      </w:pPr>
    </w:p>
    <w:p w14:paraId="6F002430" w14:textId="77777777" w:rsidR="0041126D" w:rsidRPr="004D40EA" w:rsidRDefault="0041126D" w:rsidP="0041126D">
      <w:pPr>
        <w:pStyle w:val="Style1"/>
        <w:rPr>
          <w:rFonts w:ascii="Avenir Next LT Pro" w:hAnsi="Avenir Next LT Pro"/>
        </w:rPr>
      </w:pPr>
    </w:p>
    <w:p w14:paraId="5779A399" w14:textId="77777777" w:rsidR="00065EA4" w:rsidRDefault="00065EA4">
      <w:pPr>
        <w:spacing w:after="160" w:line="259" w:lineRule="auto"/>
        <w:rPr>
          <w:rFonts w:ascii="Avenir Next LT Pro" w:hAnsi="Avenir Next LT Pro"/>
          <w:b/>
          <w:sz w:val="20"/>
          <w:szCs w:val="20"/>
        </w:rPr>
      </w:pPr>
      <w:bookmarkStart w:id="39" w:name="_Toc518377557"/>
      <w:r>
        <w:rPr>
          <w:rFonts w:ascii="Avenir Next LT Pro" w:hAnsi="Avenir Next LT Pro"/>
        </w:rPr>
        <w:br w:type="page"/>
      </w:r>
    </w:p>
    <w:p w14:paraId="73793B5F" w14:textId="762A7FE6" w:rsidR="0041126D" w:rsidRPr="004D40EA" w:rsidRDefault="0041126D" w:rsidP="0041126D">
      <w:pPr>
        <w:pStyle w:val="Style1"/>
        <w:outlineLvl w:val="0"/>
        <w:rPr>
          <w:rFonts w:ascii="Avenir Next LT Pro" w:hAnsi="Avenir Next LT Pro"/>
        </w:rPr>
      </w:pPr>
      <w:r w:rsidRPr="004D40EA">
        <w:rPr>
          <w:rFonts w:ascii="Avenir Next LT Pro" w:hAnsi="Avenir Next LT Pro"/>
        </w:rPr>
        <w:lastRenderedPageBreak/>
        <w:t>Appendix A: Understanding MSY and Member Allocations</w:t>
      </w:r>
      <w:bookmarkEnd w:id="39"/>
    </w:p>
    <w:p w14:paraId="0CE7A81F" w14:textId="77777777" w:rsidR="0041126D" w:rsidRPr="004D40EA" w:rsidRDefault="0041126D" w:rsidP="0041126D">
      <w:pPr>
        <w:spacing w:after="0" w:line="240" w:lineRule="auto"/>
        <w:contextualSpacing/>
        <w:rPr>
          <w:rFonts w:ascii="Avenir Next LT Pro" w:hAnsi="Avenir Next LT Pro"/>
          <w:b/>
          <w:sz w:val="20"/>
          <w:szCs w:val="20"/>
        </w:rPr>
      </w:pPr>
    </w:p>
    <w:p w14:paraId="2E296370"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 xml:space="preserve">How to Calculate MSY and Member Allocations </w:t>
      </w:r>
    </w:p>
    <w:p w14:paraId="04D87FAE" w14:textId="77777777" w:rsidR="0041126D" w:rsidRPr="004D40EA" w:rsidRDefault="0041126D" w:rsidP="0041126D">
      <w:pPr>
        <w:spacing w:after="0" w:line="240" w:lineRule="auto"/>
        <w:contextualSpacing/>
        <w:rPr>
          <w:rFonts w:ascii="Avenir Next LT Pro" w:hAnsi="Avenir Next LT Pro"/>
          <w:sz w:val="20"/>
          <w:szCs w:val="20"/>
        </w:rPr>
      </w:pPr>
    </w:p>
    <w:p w14:paraId="00A6EE56"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In the performance measure module, applicants enter the total share of program resources (MSYs and members) that will be directed to each objective.  Member and MSY allocations entered in the application should be the program’s best estimate of how member time will be allocated.</w:t>
      </w:r>
    </w:p>
    <w:p w14:paraId="1F120E98" w14:textId="77777777" w:rsidR="0041126D" w:rsidRPr="004D40EA" w:rsidRDefault="0041126D" w:rsidP="0041126D">
      <w:pPr>
        <w:spacing w:after="0" w:line="240" w:lineRule="auto"/>
        <w:contextualSpacing/>
        <w:rPr>
          <w:rFonts w:ascii="Avenir Next LT Pro" w:hAnsi="Avenir Next LT Pro"/>
          <w:sz w:val="20"/>
          <w:szCs w:val="20"/>
        </w:rPr>
      </w:pPr>
    </w:p>
    <w:p w14:paraId="12C69D49"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The charts below show how a sample program could calculate its MSY allocations for different member types and different percentages of member time spent per objective.  In this example, the program has a total of 135 members representing a variety of different slot types.  All members spend at least some of their time contributing to the K-12 Success objective.  The program’s full-time and half-time members also spend time contributing to the School Readiness objective:  50% of their time for full-time members and 20% for half-time members.  </w:t>
      </w:r>
    </w:p>
    <w:p w14:paraId="688CC41C" w14:textId="77777777" w:rsidR="0041126D" w:rsidRPr="004D40EA" w:rsidRDefault="0041126D" w:rsidP="0041126D">
      <w:pPr>
        <w:spacing w:after="0" w:line="240" w:lineRule="auto"/>
        <w:contextualSpacing/>
        <w:rPr>
          <w:rFonts w:ascii="Avenir Next LT Pro" w:hAnsi="Avenir Next LT Pro"/>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710"/>
        <w:gridCol w:w="360"/>
        <w:gridCol w:w="1710"/>
        <w:gridCol w:w="360"/>
        <w:gridCol w:w="1620"/>
        <w:gridCol w:w="360"/>
        <w:gridCol w:w="1458"/>
      </w:tblGrid>
      <w:tr w:rsidR="0041126D" w:rsidRPr="004D40EA" w14:paraId="391C3F65" w14:textId="77777777">
        <w:tc>
          <w:tcPr>
            <w:tcW w:w="9576" w:type="dxa"/>
            <w:gridSpan w:val="8"/>
            <w:shd w:val="clear" w:color="auto" w:fill="auto"/>
          </w:tcPr>
          <w:p w14:paraId="7B4C4C6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Objective #1: K-12 Success</w:t>
            </w:r>
          </w:p>
        </w:tc>
      </w:tr>
      <w:tr w:rsidR="0041126D" w:rsidRPr="004D40EA" w14:paraId="0EE4D440" w14:textId="77777777">
        <w:tc>
          <w:tcPr>
            <w:tcW w:w="1998" w:type="dxa"/>
            <w:shd w:val="clear" w:color="auto" w:fill="auto"/>
          </w:tcPr>
          <w:p w14:paraId="0BB8EB39"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Type of Member</w:t>
            </w:r>
          </w:p>
        </w:tc>
        <w:tc>
          <w:tcPr>
            <w:tcW w:w="1710" w:type="dxa"/>
            <w:shd w:val="clear" w:color="auto" w:fill="auto"/>
          </w:tcPr>
          <w:p w14:paraId="5024A1E7"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MSY Multiplier for Type</w:t>
            </w:r>
          </w:p>
        </w:tc>
        <w:tc>
          <w:tcPr>
            <w:tcW w:w="360" w:type="dxa"/>
            <w:shd w:val="clear" w:color="auto" w:fill="auto"/>
          </w:tcPr>
          <w:p w14:paraId="2863FD9A"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x</w:t>
            </w:r>
          </w:p>
        </w:tc>
        <w:tc>
          <w:tcPr>
            <w:tcW w:w="1710" w:type="dxa"/>
            <w:shd w:val="clear" w:color="auto" w:fill="auto"/>
          </w:tcPr>
          <w:p w14:paraId="1F04B8E4"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Number of Members for Type</w:t>
            </w:r>
          </w:p>
        </w:tc>
        <w:tc>
          <w:tcPr>
            <w:tcW w:w="360" w:type="dxa"/>
            <w:shd w:val="clear" w:color="auto" w:fill="auto"/>
          </w:tcPr>
          <w:p w14:paraId="1335C24C"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x</w:t>
            </w:r>
          </w:p>
        </w:tc>
        <w:tc>
          <w:tcPr>
            <w:tcW w:w="1620" w:type="dxa"/>
            <w:shd w:val="clear" w:color="auto" w:fill="auto"/>
          </w:tcPr>
          <w:p w14:paraId="106B8B52"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of Member Time for Objective</w:t>
            </w:r>
          </w:p>
        </w:tc>
        <w:tc>
          <w:tcPr>
            <w:tcW w:w="360" w:type="dxa"/>
            <w:shd w:val="clear" w:color="auto" w:fill="auto"/>
          </w:tcPr>
          <w:p w14:paraId="08CC74A0"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w:t>
            </w:r>
          </w:p>
        </w:tc>
        <w:tc>
          <w:tcPr>
            <w:tcW w:w="1458" w:type="dxa"/>
            <w:shd w:val="clear" w:color="auto" w:fill="auto"/>
          </w:tcPr>
          <w:p w14:paraId="26A2DB91"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MSY Allocation</w:t>
            </w:r>
          </w:p>
          <w:p w14:paraId="50CE216B" w14:textId="77777777" w:rsidR="0041126D" w:rsidRPr="004D40EA" w:rsidRDefault="0041126D">
            <w:pPr>
              <w:spacing w:after="0" w:line="240" w:lineRule="auto"/>
              <w:contextualSpacing/>
              <w:jc w:val="center"/>
              <w:rPr>
                <w:rFonts w:ascii="Avenir Next LT Pro" w:hAnsi="Avenir Next LT Pro"/>
                <w:b/>
                <w:sz w:val="20"/>
                <w:szCs w:val="20"/>
              </w:rPr>
            </w:pPr>
          </w:p>
        </w:tc>
      </w:tr>
      <w:tr w:rsidR="0041126D" w:rsidRPr="004D40EA" w14:paraId="55A86BCE" w14:textId="77777777">
        <w:tc>
          <w:tcPr>
            <w:tcW w:w="1998" w:type="dxa"/>
            <w:shd w:val="clear" w:color="auto" w:fill="auto"/>
          </w:tcPr>
          <w:p w14:paraId="7BAF4E9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FT</w:t>
            </w:r>
          </w:p>
        </w:tc>
        <w:tc>
          <w:tcPr>
            <w:tcW w:w="1710" w:type="dxa"/>
            <w:shd w:val="clear" w:color="auto" w:fill="auto"/>
          </w:tcPr>
          <w:p w14:paraId="0F66478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w:t>
            </w:r>
          </w:p>
        </w:tc>
        <w:tc>
          <w:tcPr>
            <w:tcW w:w="360" w:type="dxa"/>
            <w:shd w:val="clear" w:color="auto" w:fill="auto"/>
          </w:tcPr>
          <w:p w14:paraId="61D1DB2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shd w:val="clear" w:color="auto" w:fill="auto"/>
          </w:tcPr>
          <w:p w14:paraId="4AD074D4"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shd w:val="clear" w:color="auto" w:fill="auto"/>
          </w:tcPr>
          <w:p w14:paraId="3A1EBBD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shd w:val="clear" w:color="auto" w:fill="auto"/>
          </w:tcPr>
          <w:p w14:paraId="4817E96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.50</w:t>
            </w:r>
          </w:p>
        </w:tc>
        <w:tc>
          <w:tcPr>
            <w:tcW w:w="360" w:type="dxa"/>
            <w:shd w:val="clear" w:color="auto" w:fill="auto"/>
          </w:tcPr>
          <w:p w14:paraId="5861581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shd w:val="clear" w:color="auto" w:fill="auto"/>
          </w:tcPr>
          <w:p w14:paraId="297DAED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50</w:t>
            </w:r>
          </w:p>
        </w:tc>
      </w:tr>
      <w:tr w:rsidR="0041126D" w:rsidRPr="004D40EA" w14:paraId="5921E2F9" w14:textId="77777777">
        <w:tc>
          <w:tcPr>
            <w:tcW w:w="1998" w:type="dxa"/>
            <w:shd w:val="clear" w:color="auto" w:fill="auto"/>
          </w:tcPr>
          <w:p w14:paraId="393C9C8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TQT</w:t>
            </w:r>
          </w:p>
        </w:tc>
        <w:tc>
          <w:tcPr>
            <w:tcW w:w="1710" w:type="dxa"/>
            <w:shd w:val="clear" w:color="auto" w:fill="auto"/>
          </w:tcPr>
          <w:p w14:paraId="654E711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.7</w:t>
            </w:r>
          </w:p>
        </w:tc>
        <w:tc>
          <w:tcPr>
            <w:tcW w:w="360" w:type="dxa"/>
            <w:shd w:val="clear" w:color="auto" w:fill="auto"/>
          </w:tcPr>
          <w:p w14:paraId="0D563F9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shd w:val="clear" w:color="auto" w:fill="auto"/>
          </w:tcPr>
          <w:p w14:paraId="40D2B72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shd w:val="clear" w:color="auto" w:fill="auto"/>
          </w:tcPr>
          <w:p w14:paraId="6EC96CEB"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shd w:val="clear" w:color="auto" w:fill="auto"/>
          </w:tcPr>
          <w:p w14:paraId="4064691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shd w:val="clear" w:color="auto" w:fill="auto"/>
          </w:tcPr>
          <w:p w14:paraId="6720324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shd w:val="clear" w:color="auto" w:fill="auto"/>
          </w:tcPr>
          <w:p w14:paraId="5934C978"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323DF313" w14:textId="77777777">
        <w:tc>
          <w:tcPr>
            <w:tcW w:w="1998" w:type="dxa"/>
            <w:shd w:val="clear" w:color="auto" w:fill="auto"/>
          </w:tcPr>
          <w:p w14:paraId="040D574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HT</w:t>
            </w:r>
          </w:p>
        </w:tc>
        <w:tc>
          <w:tcPr>
            <w:tcW w:w="1710" w:type="dxa"/>
            <w:shd w:val="clear" w:color="auto" w:fill="auto"/>
          </w:tcPr>
          <w:p w14:paraId="0ED9289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w:t>
            </w:r>
          </w:p>
        </w:tc>
        <w:tc>
          <w:tcPr>
            <w:tcW w:w="360" w:type="dxa"/>
            <w:shd w:val="clear" w:color="auto" w:fill="auto"/>
          </w:tcPr>
          <w:p w14:paraId="3BF5EEE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shd w:val="clear" w:color="auto" w:fill="auto"/>
          </w:tcPr>
          <w:p w14:paraId="64DA346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w:t>
            </w:r>
          </w:p>
        </w:tc>
        <w:tc>
          <w:tcPr>
            <w:tcW w:w="360" w:type="dxa"/>
            <w:shd w:val="clear" w:color="auto" w:fill="auto"/>
          </w:tcPr>
          <w:p w14:paraId="22187D1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shd w:val="clear" w:color="auto" w:fill="auto"/>
          </w:tcPr>
          <w:p w14:paraId="20841EB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.80</w:t>
            </w:r>
          </w:p>
        </w:tc>
        <w:tc>
          <w:tcPr>
            <w:tcW w:w="360" w:type="dxa"/>
            <w:shd w:val="clear" w:color="auto" w:fill="auto"/>
          </w:tcPr>
          <w:p w14:paraId="079A5AC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shd w:val="clear" w:color="auto" w:fill="auto"/>
          </w:tcPr>
          <w:p w14:paraId="4798212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w:t>
            </w:r>
          </w:p>
        </w:tc>
      </w:tr>
      <w:tr w:rsidR="0041126D" w:rsidRPr="004D40EA" w14:paraId="46A47CCD" w14:textId="77777777">
        <w:tc>
          <w:tcPr>
            <w:tcW w:w="1998" w:type="dxa"/>
            <w:shd w:val="clear" w:color="auto" w:fill="auto"/>
          </w:tcPr>
          <w:p w14:paraId="0DA2E21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RHT</w:t>
            </w:r>
          </w:p>
        </w:tc>
        <w:tc>
          <w:tcPr>
            <w:tcW w:w="1710" w:type="dxa"/>
            <w:shd w:val="clear" w:color="auto" w:fill="auto"/>
          </w:tcPr>
          <w:p w14:paraId="3CC7689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.3809524</w:t>
            </w:r>
          </w:p>
        </w:tc>
        <w:tc>
          <w:tcPr>
            <w:tcW w:w="360" w:type="dxa"/>
            <w:shd w:val="clear" w:color="auto" w:fill="auto"/>
          </w:tcPr>
          <w:p w14:paraId="4903339B"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shd w:val="clear" w:color="auto" w:fill="auto"/>
          </w:tcPr>
          <w:p w14:paraId="1ADF8C3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shd w:val="clear" w:color="auto" w:fill="auto"/>
          </w:tcPr>
          <w:p w14:paraId="0D13CC3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shd w:val="clear" w:color="auto" w:fill="auto"/>
          </w:tcPr>
          <w:p w14:paraId="4B8E1B7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shd w:val="clear" w:color="auto" w:fill="auto"/>
          </w:tcPr>
          <w:p w14:paraId="25C09AF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shd w:val="clear" w:color="auto" w:fill="auto"/>
          </w:tcPr>
          <w:p w14:paraId="6906D84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3.81</w:t>
            </w:r>
          </w:p>
        </w:tc>
      </w:tr>
      <w:tr w:rsidR="0041126D" w:rsidRPr="004D40EA" w14:paraId="7EA6C84E" w14:textId="77777777">
        <w:tc>
          <w:tcPr>
            <w:tcW w:w="1998" w:type="dxa"/>
            <w:shd w:val="clear" w:color="auto" w:fill="auto"/>
          </w:tcPr>
          <w:p w14:paraId="2F54B03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QT</w:t>
            </w:r>
          </w:p>
        </w:tc>
        <w:tc>
          <w:tcPr>
            <w:tcW w:w="1710" w:type="dxa"/>
            <w:shd w:val="clear" w:color="auto" w:fill="auto"/>
          </w:tcPr>
          <w:p w14:paraId="5EF935D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.26455027</w:t>
            </w:r>
          </w:p>
        </w:tc>
        <w:tc>
          <w:tcPr>
            <w:tcW w:w="360" w:type="dxa"/>
            <w:shd w:val="clear" w:color="auto" w:fill="auto"/>
          </w:tcPr>
          <w:p w14:paraId="1992C58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shd w:val="clear" w:color="auto" w:fill="auto"/>
          </w:tcPr>
          <w:p w14:paraId="2EB1B3A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shd w:val="clear" w:color="auto" w:fill="auto"/>
          </w:tcPr>
          <w:p w14:paraId="7244CF3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shd w:val="clear" w:color="auto" w:fill="auto"/>
          </w:tcPr>
          <w:p w14:paraId="54CDBBB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shd w:val="clear" w:color="auto" w:fill="auto"/>
          </w:tcPr>
          <w:p w14:paraId="73A6E30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shd w:val="clear" w:color="auto" w:fill="auto"/>
          </w:tcPr>
          <w:p w14:paraId="64612A7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2.65</w:t>
            </w:r>
          </w:p>
        </w:tc>
      </w:tr>
      <w:tr w:rsidR="0041126D" w:rsidRPr="004D40EA" w14:paraId="331791B0" w14:textId="77777777">
        <w:tc>
          <w:tcPr>
            <w:tcW w:w="1998" w:type="dxa"/>
            <w:shd w:val="clear" w:color="auto" w:fill="auto"/>
          </w:tcPr>
          <w:p w14:paraId="5F5F579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MT</w:t>
            </w:r>
          </w:p>
        </w:tc>
        <w:tc>
          <w:tcPr>
            <w:tcW w:w="1710" w:type="dxa"/>
            <w:shd w:val="clear" w:color="auto" w:fill="auto"/>
          </w:tcPr>
          <w:p w14:paraId="67AF19A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.21164022</w:t>
            </w:r>
          </w:p>
        </w:tc>
        <w:tc>
          <w:tcPr>
            <w:tcW w:w="360" w:type="dxa"/>
            <w:shd w:val="clear" w:color="auto" w:fill="auto"/>
          </w:tcPr>
          <w:p w14:paraId="4377526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shd w:val="clear" w:color="auto" w:fill="auto"/>
          </w:tcPr>
          <w:p w14:paraId="53A0877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shd w:val="clear" w:color="auto" w:fill="auto"/>
          </w:tcPr>
          <w:p w14:paraId="5078CDF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shd w:val="clear" w:color="auto" w:fill="auto"/>
          </w:tcPr>
          <w:p w14:paraId="45828DB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shd w:val="clear" w:color="auto" w:fill="auto"/>
          </w:tcPr>
          <w:p w14:paraId="3C83918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shd w:val="clear" w:color="auto" w:fill="auto"/>
          </w:tcPr>
          <w:p w14:paraId="1E72BF0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2.17</w:t>
            </w:r>
          </w:p>
        </w:tc>
      </w:tr>
      <w:tr w:rsidR="0041126D" w:rsidRPr="004D40EA" w14:paraId="58FBCD18" w14:textId="77777777">
        <w:tc>
          <w:tcPr>
            <w:tcW w:w="1998" w:type="dxa"/>
            <w:shd w:val="clear" w:color="auto" w:fill="auto"/>
          </w:tcPr>
          <w:p w14:paraId="2A3CE97A" w14:textId="77777777" w:rsidR="0041126D" w:rsidRPr="004D40EA" w:rsidRDefault="0041126D">
            <w:pPr>
              <w:spacing w:after="0" w:line="240" w:lineRule="auto"/>
              <w:contextualSpacing/>
              <w:jc w:val="center"/>
              <w:rPr>
                <w:rFonts w:ascii="Avenir Next LT Pro" w:hAnsi="Avenir Next LT Pro"/>
                <w:sz w:val="20"/>
                <w:szCs w:val="20"/>
              </w:rPr>
            </w:pPr>
            <w:bookmarkStart w:id="40" w:name="_Hlk49258574"/>
            <w:r w:rsidRPr="004D40EA">
              <w:rPr>
                <w:rFonts w:ascii="Avenir Next LT Pro" w:hAnsi="Avenir Next LT Pro"/>
                <w:sz w:val="20"/>
                <w:szCs w:val="20"/>
              </w:rPr>
              <w:t>AT</w:t>
            </w:r>
          </w:p>
        </w:tc>
        <w:tc>
          <w:tcPr>
            <w:tcW w:w="1710" w:type="dxa"/>
            <w:shd w:val="clear" w:color="auto" w:fill="auto"/>
          </w:tcPr>
          <w:p w14:paraId="7DD5AD4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.05627705</w:t>
            </w:r>
          </w:p>
        </w:tc>
        <w:tc>
          <w:tcPr>
            <w:tcW w:w="360" w:type="dxa"/>
            <w:shd w:val="clear" w:color="auto" w:fill="auto"/>
          </w:tcPr>
          <w:p w14:paraId="09668E3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shd w:val="clear" w:color="auto" w:fill="auto"/>
          </w:tcPr>
          <w:p w14:paraId="3E697CD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shd w:val="clear" w:color="auto" w:fill="auto"/>
          </w:tcPr>
          <w:p w14:paraId="6FE7F15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shd w:val="clear" w:color="auto" w:fill="auto"/>
          </w:tcPr>
          <w:p w14:paraId="302191C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shd w:val="clear" w:color="auto" w:fill="auto"/>
          </w:tcPr>
          <w:p w14:paraId="12E1978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shd w:val="clear" w:color="auto" w:fill="auto"/>
          </w:tcPr>
          <w:p w14:paraId="737E8D33" w14:textId="77777777" w:rsidR="0041126D" w:rsidRPr="004D40EA" w:rsidRDefault="0041126D">
            <w:pPr>
              <w:spacing w:after="0" w:line="240" w:lineRule="auto"/>
              <w:contextualSpacing/>
              <w:jc w:val="center"/>
              <w:rPr>
                <w:rFonts w:ascii="Avenir Next LT Pro" w:hAnsi="Avenir Next LT Pro"/>
                <w:sz w:val="20"/>
                <w:szCs w:val="20"/>
              </w:rPr>
            </w:pPr>
          </w:p>
        </w:tc>
      </w:tr>
      <w:bookmarkEnd w:id="40"/>
      <w:tr w:rsidR="0041126D" w:rsidRPr="004D40EA" w14:paraId="236A616B" w14:textId="77777777">
        <w:tc>
          <w:tcPr>
            <w:tcW w:w="4068" w:type="dxa"/>
            <w:gridSpan w:val="3"/>
            <w:shd w:val="clear" w:color="auto" w:fill="auto"/>
          </w:tcPr>
          <w:p w14:paraId="4EF7FD64" w14:textId="77777777" w:rsidR="0041126D" w:rsidRPr="004D40EA" w:rsidRDefault="0041126D">
            <w:pPr>
              <w:spacing w:after="0" w:line="240" w:lineRule="auto"/>
              <w:contextualSpacing/>
              <w:jc w:val="right"/>
              <w:rPr>
                <w:rFonts w:ascii="Avenir Next LT Pro" w:hAnsi="Avenir Next LT Pro"/>
                <w:b/>
                <w:sz w:val="20"/>
                <w:szCs w:val="20"/>
              </w:rPr>
            </w:pPr>
            <w:r w:rsidRPr="004D40EA">
              <w:rPr>
                <w:rFonts w:ascii="Avenir Next LT Pro" w:hAnsi="Avenir Next LT Pro"/>
                <w:b/>
                <w:sz w:val="20"/>
                <w:szCs w:val="20"/>
              </w:rPr>
              <w:t>Total Members</w:t>
            </w:r>
          </w:p>
        </w:tc>
        <w:tc>
          <w:tcPr>
            <w:tcW w:w="1710" w:type="dxa"/>
            <w:shd w:val="clear" w:color="auto" w:fill="auto"/>
          </w:tcPr>
          <w:p w14:paraId="1AC0BFD8"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135</w:t>
            </w:r>
          </w:p>
        </w:tc>
        <w:tc>
          <w:tcPr>
            <w:tcW w:w="2340" w:type="dxa"/>
            <w:gridSpan w:val="3"/>
            <w:shd w:val="clear" w:color="auto" w:fill="auto"/>
          </w:tcPr>
          <w:p w14:paraId="6F8C8520" w14:textId="77777777" w:rsidR="0041126D" w:rsidRPr="004D40EA" w:rsidRDefault="0041126D">
            <w:pPr>
              <w:spacing w:after="0" w:line="240" w:lineRule="auto"/>
              <w:contextualSpacing/>
              <w:jc w:val="right"/>
              <w:rPr>
                <w:rFonts w:ascii="Avenir Next LT Pro" w:hAnsi="Avenir Next LT Pro"/>
                <w:b/>
                <w:sz w:val="20"/>
                <w:szCs w:val="20"/>
              </w:rPr>
            </w:pPr>
            <w:r w:rsidRPr="004D40EA">
              <w:rPr>
                <w:rFonts w:ascii="Avenir Next LT Pro" w:hAnsi="Avenir Next LT Pro"/>
                <w:b/>
                <w:sz w:val="20"/>
                <w:szCs w:val="20"/>
              </w:rPr>
              <w:t>Total MSYs</w:t>
            </w:r>
          </w:p>
        </w:tc>
        <w:tc>
          <w:tcPr>
            <w:tcW w:w="1458" w:type="dxa"/>
            <w:shd w:val="clear" w:color="auto" w:fill="auto"/>
          </w:tcPr>
          <w:p w14:paraId="7CDC1DA6"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60.63</w:t>
            </w:r>
          </w:p>
        </w:tc>
      </w:tr>
    </w:tbl>
    <w:p w14:paraId="4327FFF1" w14:textId="77777777" w:rsidR="0041126D" w:rsidRPr="004D40EA" w:rsidRDefault="0041126D" w:rsidP="0041126D">
      <w:pPr>
        <w:spacing w:after="0" w:line="240" w:lineRule="auto"/>
        <w:contextualSpacing/>
        <w:rPr>
          <w:rFonts w:ascii="Avenir Next LT Pro" w:hAnsi="Avenir Next LT Pro"/>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710"/>
        <w:gridCol w:w="360"/>
        <w:gridCol w:w="1710"/>
        <w:gridCol w:w="360"/>
        <w:gridCol w:w="1620"/>
        <w:gridCol w:w="360"/>
        <w:gridCol w:w="1458"/>
      </w:tblGrid>
      <w:tr w:rsidR="0041126D" w:rsidRPr="004D40EA" w14:paraId="41E96F22" w14:textId="77777777">
        <w:tc>
          <w:tcPr>
            <w:tcW w:w="9576" w:type="dxa"/>
            <w:gridSpan w:val="8"/>
            <w:shd w:val="clear" w:color="auto" w:fill="auto"/>
          </w:tcPr>
          <w:p w14:paraId="7092919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Objective #2: School Readiness</w:t>
            </w:r>
          </w:p>
        </w:tc>
      </w:tr>
      <w:tr w:rsidR="0041126D" w:rsidRPr="004D40EA" w14:paraId="373A07C5" w14:textId="77777777">
        <w:tc>
          <w:tcPr>
            <w:tcW w:w="1998" w:type="dxa"/>
            <w:shd w:val="clear" w:color="auto" w:fill="auto"/>
          </w:tcPr>
          <w:p w14:paraId="33593442"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Type of Member</w:t>
            </w:r>
          </w:p>
        </w:tc>
        <w:tc>
          <w:tcPr>
            <w:tcW w:w="1710" w:type="dxa"/>
            <w:shd w:val="clear" w:color="auto" w:fill="auto"/>
          </w:tcPr>
          <w:p w14:paraId="003697B4"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MSY Multiplier for Type</w:t>
            </w:r>
          </w:p>
        </w:tc>
        <w:tc>
          <w:tcPr>
            <w:tcW w:w="360" w:type="dxa"/>
            <w:shd w:val="clear" w:color="auto" w:fill="auto"/>
          </w:tcPr>
          <w:p w14:paraId="4966920E"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x</w:t>
            </w:r>
          </w:p>
        </w:tc>
        <w:tc>
          <w:tcPr>
            <w:tcW w:w="1710" w:type="dxa"/>
            <w:shd w:val="clear" w:color="auto" w:fill="auto"/>
          </w:tcPr>
          <w:p w14:paraId="7EFE0FBB"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Number of Members for Type</w:t>
            </w:r>
          </w:p>
        </w:tc>
        <w:tc>
          <w:tcPr>
            <w:tcW w:w="360" w:type="dxa"/>
            <w:shd w:val="clear" w:color="auto" w:fill="auto"/>
          </w:tcPr>
          <w:p w14:paraId="73AE6FB1"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x</w:t>
            </w:r>
          </w:p>
        </w:tc>
        <w:tc>
          <w:tcPr>
            <w:tcW w:w="1620" w:type="dxa"/>
            <w:shd w:val="clear" w:color="auto" w:fill="auto"/>
          </w:tcPr>
          <w:p w14:paraId="05FFD5C3"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 of Member Time for Objective</w:t>
            </w:r>
          </w:p>
        </w:tc>
        <w:tc>
          <w:tcPr>
            <w:tcW w:w="360" w:type="dxa"/>
            <w:shd w:val="clear" w:color="auto" w:fill="auto"/>
          </w:tcPr>
          <w:p w14:paraId="42B84214"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w:t>
            </w:r>
          </w:p>
        </w:tc>
        <w:tc>
          <w:tcPr>
            <w:tcW w:w="1458" w:type="dxa"/>
            <w:shd w:val="clear" w:color="auto" w:fill="auto"/>
          </w:tcPr>
          <w:p w14:paraId="31CBC17F"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MSY Allocation</w:t>
            </w:r>
          </w:p>
          <w:p w14:paraId="70CB02DF" w14:textId="77777777" w:rsidR="0041126D" w:rsidRPr="004D40EA" w:rsidRDefault="0041126D">
            <w:pPr>
              <w:spacing w:after="0" w:line="240" w:lineRule="auto"/>
              <w:contextualSpacing/>
              <w:jc w:val="center"/>
              <w:rPr>
                <w:rFonts w:ascii="Avenir Next LT Pro" w:hAnsi="Avenir Next LT Pro"/>
                <w:b/>
                <w:sz w:val="20"/>
                <w:szCs w:val="20"/>
              </w:rPr>
            </w:pPr>
          </w:p>
        </w:tc>
      </w:tr>
      <w:tr w:rsidR="0041126D" w:rsidRPr="004D40EA" w14:paraId="11850D4B" w14:textId="77777777">
        <w:tc>
          <w:tcPr>
            <w:tcW w:w="1998" w:type="dxa"/>
            <w:shd w:val="clear" w:color="auto" w:fill="auto"/>
          </w:tcPr>
          <w:p w14:paraId="4848D3A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FT</w:t>
            </w:r>
          </w:p>
        </w:tc>
        <w:tc>
          <w:tcPr>
            <w:tcW w:w="1710" w:type="dxa"/>
            <w:shd w:val="clear" w:color="auto" w:fill="auto"/>
          </w:tcPr>
          <w:p w14:paraId="2CEB90C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w:t>
            </w:r>
          </w:p>
        </w:tc>
        <w:tc>
          <w:tcPr>
            <w:tcW w:w="360" w:type="dxa"/>
            <w:shd w:val="clear" w:color="auto" w:fill="auto"/>
          </w:tcPr>
          <w:p w14:paraId="641DA1C4"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shd w:val="clear" w:color="auto" w:fill="auto"/>
          </w:tcPr>
          <w:p w14:paraId="5FD3D1F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100</w:t>
            </w:r>
          </w:p>
        </w:tc>
        <w:tc>
          <w:tcPr>
            <w:tcW w:w="360" w:type="dxa"/>
            <w:shd w:val="clear" w:color="auto" w:fill="auto"/>
          </w:tcPr>
          <w:p w14:paraId="5C2BC56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shd w:val="clear" w:color="auto" w:fill="auto"/>
          </w:tcPr>
          <w:p w14:paraId="1641E3BB"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.50</w:t>
            </w:r>
          </w:p>
        </w:tc>
        <w:tc>
          <w:tcPr>
            <w:tcW w:w="360" w:type="dxa"/>
            <w:shd w:val="clear" w:color="auto" w:fill="auto"/>
          </w:tcPr>
          <w:p w14:paraId="78CA3D7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shd w:val="clear" w:color="auto" w:fill="auto"/>
          </w:tcPr>
          <w:p w14:paraId="01A4275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 xml:space="preserve">50 </w:t>
            </w:r>
          </w:p>
        </w:tc>
      </w:tr>
      <w:tr w:rsidR="0041126D" w:rsidRPr="004D40EA" w14:paraId="76F139DF" w14:textId="77777777">
        <w:tc>
          <w:tcPr>
            <w:tcW w:w="1998" w:type="dxa"/>
            <w:shd w:val="clear" w:color="auto" w:fill="auto"/>
          </w:tcPr>
          <w:p w14:paraId="385BB8E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TQT</w:t>
            </w:r>
          </w:p>
        </w:tc>
        <w:tc>
          <w:tcPr>
            <w:tcW w:w="1710" w:type="dxa"/>
            <w:shd w:val="clear" w:color="auto" w:fill="auto"/>
          </w:tcPr>
          <w:p w14:paraId="31D2812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.7</w:t>
            </w:r>
          </w:p>
        </w:tc>
        <w:tc>
          <w:tcPr>
            <w:tcW w:w="360" w:type="dxa"/>
            <w:shd w:val="clear" w:color="auto" w:fill="auto"/>
          </w:tcPr>
          <w:p w14:paraId="73B0981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shd w:val="clear" w:color="auto" w:fill="auto"/>
          </w:tcPr>
          <w:p w14:paraId="58C89B8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shd w:val="clear" w:color="auto" w:fill="auto"/>
          </w:tcPr>
          <w:p w14:paraId="230361C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shd w:val="clear" w:color="auto" w:fill="auto"/>
          </w:tcPr>
          <w:p w14:paraId="53CB2A6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shd w:val="clear" w:color="auto" w:fill="auto"/>
          </w:tcPr>
          <w:p w14:paraId="34263E6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shd w:val="clear" w:color="auto" w:fill="auto"/>
          </w:tcPr>
          <w:p w14:paraId="3A33F956"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70F8161C" w14:textId="77777777">
        <w:tc>
          <w:tcPr>
            <w:tcW w:w="1998" w:type="dxa"/>
            <w:shd w:val="clear" w:color="auto" w:fill="auto"/>
          </w:tcPr>
          <w:p w14:paraId="1F4613D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HT</w:t>
            </w:r>
          </w:p>
        </w:tc>
        <w:tc>
          <w:tcPr>
            <w:tcW w:w="1710" w:type="dxa"/>
            <w:shd w:val="clear" w:color="auto" w:fill="auto"/>
          </w:tcPr>
          <w:p w14:paraId="5E746524"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w:t>
            </w:r>
          </w:p>
        </w:tc>
        <w:tc>
          <w:tcPr>
            <w:tcW w:w="360" w:type="dxa"/>
            <w:shd w:val="clear" w:color="auto" w:fill="auto"/>
          </w:tcPr>
          <w:p w14:paraId="3258F2D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shd w:val="clear" w:color="auto" w:fill="auto"/>
          </w:tcPr>
          <w:p w14:paraId="1968F70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5</w:t>
            </w:r>
          </w:p>
        </w:tc>
        <w:tc>
          <w:tcPr>
            <w:tcW w:w="360" w:type="dxa"/>
            <w:shd w:val="clear" w:color="auto" w:fill="auto"/>
          </w:tcPr>
          <w:p w14:paraId="6AD88D1E"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shd w:val="clear" w:color="auto" w:fill="auto"/>
          </w:tcPr>
          <w:p w14:paraId="10AABB1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.20</w:t>
            </w:r>
          </w:p>
        </w:tc>
        <w:tc>
          <w:tcPr>
            <w:tcW w:w="360" w:type="dxa"/>
            <w:shd w:val="clear" w:color="auto" w:fill="auto"/>
          </w:tcPr>
          <w:p w14:paraId="00D88A06"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shd w:val="clear" w:color="auto" w:fill="auto"/>
          </w:tcPr>
          <w:p w14:paraId="0E33B6C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 xml:space="preserve">.5 </w:t>
            </w:r>
          </w:p>
        </w:tc>
      </w:tr>
      <w:tr w:rsidR="0041126D" w:rsidRPr="004D40EA" w14:paraId="4B86B02D" w14:textId="77777777">
        <w:tc>
          <w:tcPr>
            <w:tcW w:w="1998" w:type="dxa"/>
            <w:shd w:val="clear" w:color="auto" w:fill="auto"/>
          </w:tcPr>
          <w:p w14:paraId="7875146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RHT</w:t>
            </w:r>
          </w:p>
        </w:tc>
        <w:tc>
          <w:tcPr>
            <w:tcW w:w="1710" w:type="dxa"/>
            <w:shd w:val="clear" w:color="auto" w:fill="auto"/>
          </w:tcPr>
          <w:p w14:paraId="3E9C04E3"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.3809524</w:t>
            </w:r>
          </w:p>
        </w:tc>
        <w:tc>
          <w:tcPr>
            <w:tcW w:w="360" w:type="dxa"/>
            <w:shd w:val="clear" w:color="auto" w:fill="auto"/>
          </w:tcPr>
          <w:p w14:paraId="02745A1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shd w:val="clear" w:color="auto" w:fill="auto"/>
          </w:tcPr>
          <w:p w14:paraId="44B13E8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shd w:val="clear" w:color="auto" w:fill="auto"/>
          </w:tcPr>
          <w:p w14:paraId="5EB9C6BF"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shd w:val="clear" w:color="auto" w:fill="auto"/>
          </w:tcPr>
          <w:p w14:paraId="180A733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shd w:val="clear" w:color="auto" w:fill="auto"/>
          </w:tcPr>
          <w:p w14:paraId="63F2D90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shd w:val="clear" w:color="auto" w:fill="auto"/>
          </w:tcPr>
          <w:p w14:paraId="767D99EA"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521D9C0E" w14:textId="77777777">
        <w:tc>
          <w:tcPr>
            <w:tcW w:w="1998" w:type="dxa"/>
            <w:shd w:val="clear" w:color="auto" w:fill="auto"/>
          </w:tcPr>
          <w:p w14:paraId="0921861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QT</w:t>
            </w:r>
          </w:p>
        </w:tc>
        <w:tc>
          <w:tcPr>
            <w:tcW w:w="1710" w:type="dxa"/>
            <w:shd w:val="clear" w:color="auto" w:fill="auto"/>
          </w:tcPr>
          <w:p w14:paraId="6621EEB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.26455027</w:t>
            </w:r>
          </w:p>
        </w:tc>
        <w:tc>
          <w:tcPr>
            <w:tcW w:w="360" w:type="dxa"/>
            <w:shd w:val="clear" w:color="auto" w:fill="auto"/>
          </w:tcPr>
          <w:p w14:paraId="3ED055A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shd w:val="clear" w:color="auto" w:fill="auto"/>
          </w:tcPr>
          <w:p w14:paraId="59719ED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shd w:val="clear" w:color="auto" w:fill="auto"/>
          </w:tcPr>
          <w:p w14:paraId="76E83F8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shd w:val="clear" w:color="auto" w:fill="auto"/>
          </w:tcPr>
          <w:p w14:paraId="46DAF81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shd w:val="clear" w:color="auto" w:fill="auto"/>
          </w:tcPr>
          <w:p w14:paraId="596B50C2"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shd w:val="clear" w:color="auto" w:fill="auto"/>
          </w:tcPr>
          <w:p w14:paraId="0505FF3E"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39395AF1" w14:textId="77777777">
        <w:tc>
          <w:tcPr>
            <w:tcW w:w="1998" w:type="dxa"/>
            <w:shd w:val="clear" w:color="auto" w:fill="auto"/>
          </w:tcPr>
          <w:p w14:paraId="54F89735"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MT</w:t>
            </w:r>
          </w:p>
        </w:tc>
        <w:tc>
          <w:tcPr>
            <w:tcW w:w="1710" w:type="dxa"/>
            <w:shd w:val="clear" w:color="auto" w:fill="auto"/>
          </w:tcPr>
          <w:p w14:paraId="5FCDA91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.21164022</w:t>
            </w:r>
          </w:p>
        </w:tc>
        <w:tc>
          <w:tcPr>
            <w:tcW w:w="360" w:type="dxa"/>
            <w:shd w:val="clear" w:color="auto" w:fill="auto"/>
          </w:tcPr>
          <w:p w14:paraId="6FDCB337"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shd w:val="clear" w:color="auto" w:fill="auto"/>
          </w:tcPr>
          <w:p w14:paraId="00D4395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10</w:t>
            </w:r>
          </w:p>
        </w:tc>
        <w:tc>
          <w:tcPr>
            <w:tcW w:w="360" w:type="dxa"/>
            <w:shd w:val="clear" w:color="auto" w:fill="auto"/>
          </w:tcPr>
          <w:p w14:paraId="68A8C241"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shd w:val="clear" w:color="auto" w:fill="auto"/>
          </w:tcPr>
          <w:p w14:paraId="2D3116ED"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shd w:val="clear" w:color="auto" w:fill="auto"/>
          </w:tcPr>
          <w:p w14:paraId="4F4942D6"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shd w:val="clear" w:color="auto" w:fill="auto"/>
          </w:tcPr>
          <w:p w14:paraId="4895E32F"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5B6413F4" w14:textId="77777777">
        <w:tc>
          <w:tcPr>
            <w:tcW w:w="1998" w:type="dxa"/>
            <w:shd w:val="clear" w:color="auto" w:fill="auto"/>
          </w:tcPr>
          <w:p w14:paraId="6862935C"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AT</w:t>
            </w:r>
          </w:p>
        </w:tc>
        <w:tc>
          <w:tcPr>
            <w:tcW w:w="1710" w:type="dxa"/>
            <w:shd w:val="clear" w:color="auto" w:fill="auto"/>
          </w:tcPr>
          <w:p w14:paraId="28BC1906"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.05627705</w:t>
            </w:r>
          </w:p>
        </w:tc>
        <w:tc>
          <w:tcPr>
            <w:tcW w:w="360" w:type="dxa"/>
            <w:shd w:val="clear" w:color="auto" w:fill="auto"/>
          </w:tcPr>
          <w:p w14:paraId="5318C489"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710" w:type="dxa"/>
            <w:shd w:val="clear" w:color="auto" w:fill="auto"/>
          </w:tcPr>
          <w:p w14:paraId="78388EF0"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shd w:val="clear" w:color="auto" w:fill="auto"/>
          </w:tcPr>
          <w:p w14:paraId="2CD07EDB"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x</w:t>
            </w:r>
          </w:p>
        </w:tc>
        <w:tc>
          <w:tcPr>
            <w:tcW w:w="1620" w:type="dxa"/>
            <w:shd w:val="clear" w:color="auto" w:fill="auto"/>
          </w:tcPr>
          <w:p w14:paraId="559F602A"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0</w:t>
            </w:r>
          </w:p>
        </w:tc>
        <w:tc>
          <w:tcPr>
            <w:tcW w:w="360" w:type="dxa"/>
            <w:shd w:val="clear" w:color="auto" w:fill="auto"/>
          </w:tcPr>
          <w:p w14:paraId="5E390578" w14:textId="77777777" w:rsidR="0041126D" w:rsidRPr="004D40EA" w:rsidRDefault="0041126D">
            <w:pPr>
              <w:spacing w:after="0" w:line="240" w:lineRule="auto"/>
              <w:contextualSpacing/>
              <w:jc w:val="center"/>
              <w:rPr>
                <w:rFonts w:ascii="Avenir Next LT Pro" w:hAnsi="Avenir Next LT Pro"/>
                <w:sz w:val="20"/>
                <w:szCs w:val="20"/>
              </w:rPr>
            </w:pPr>
            <w:r w:rsidRPr="004D40EA">
              <w:rPr>
                <w:rFonts w:ascii="Avenir Next LT Pro" w:hAnsi="Avenir Next LT Pro"/>
                <w:sz w:val="20"/>
                <w:szCs w:val="20"/>
              </w:rPr>
              <w:t>=</w:t>
            </w:r>
          </w:p>
        </w:tc>
        <w:tc>
          <w:tcPr>
            <w:tcW w:w="1458" w:type="dxa"/>
            <w:shd w:val="clear" w:color="auto" w:fill="auto"/>
          </w:tcPr>
          <w:p w14:paraId="4C93C11B" w14:textId="77777777" w:rsidR="0041126D" w:rsidRPr="004D40EA" w:rsidRDefault="0041126D">
            <w:pPr>
              <w:spacing w:after="0" w:line="240" w:lineRule="auto"/>
              <w:contextualSpacing/>
              <w:jc w:val="center"/>
              <w:rPr>
                <w:rFonts w:ascii="Avenir Next LT Pro" w:hAnsi="Avenir Next LT Pro"/>
                <w:sz w:val="20"/>
                <w:szCs w:val="20"/>
              </w:rPr>
            </w:pPr>
          </w:p>
        </w:tc>
      </w:tr>
      <w:tr w:rsidR="0041126D" w:rsidRPr="004D40EA" w14:paraId="31FEB013" w14:textId="77777777">
        <w:tc>
          <w:tcPr>
            <w:tcW w:w="4068" w:type="dxa"/>
            <w:gridSpan w:val="3"/>
            <w:shd w:val="clear" w:color="auto" w:fill="auto"/>
          </w:tcPr>
          <w:p w14:paraId="295E6E1B" w14:textId="77777777" w:rsidR="0041126D" w:rsidRPr="004D40EA" w:rsidRDefault="0041126D">
            <w:pPr>
              <w:spacing w:after="0" w:line="240" w:lineRule="auto"/>
              <w:contextualSpacing/>
              <w:jc w:val="right"/>
              <w:rPr>
                <w:rFonts w:ascii="Avenir Next LT Pro" w:hAnsi="Avenir Next LT Pro"/>
                <w:b/>
                <w:sz w:val="20"/>
                <w:szCs w:val="20"/>
              </w:rPr>
            </w:pPr>
            <w:r w:rsidRPr="004D40EA">
              <w:rPr>
                <w:rFonts w:ascii="Avenir Next LT Pro" w:hAnsi="Avenir Next LT Pro"/>
                <w:b/>
                <w:sz w:val="20"/>
                <w:szCs w:val="20"/>
              </w:rPr>
              <w:t>Total Members</w:t>
            </w:r>
          </w:p>
        </w:tc>
        <w:tc>
          <w:tcPr>
            <w:tcW w:w="1710" w:type="dxa"/>
            <w:shd w:val="clear" w:color="auto" w:fill="auto"/>
          </w:tcPr>
          <w:p w14:paraId="26B2BBF4"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105</w:t>
            </w:r>
          </w:p>
        </w:tc>
        <w:tc>
          <w:tcPr>
            <w:tcW w:w="2340" w:type="dxa"/>
            <w:gridSpan w:val="3"/>
            <w:shd w:val="clear" w:color="auto" w:fill="auto"/>
          </w:tcPr>
          <w:p w14:paraId="31E157AF" w14:textId="77777777" w:rsidR="0041126D" w:rsidRPr="004D40EA" w:rsidRDefault="0041126D">
            <w:pPr>
              <w:spacing w:after="0" w:line="240" w:lineRule="auto"/>
              <w:contextualSpacing/>
              <w:jc w:val="right"/>
              <w:rPr>
                <w:rFonts w:ascii="Avenir Next LT Pro" w:hAnsi="Avenir Next LT Pro"/>
                <w:b/>
                <w:sz w:val="20"/>
                <w:szCs w:val="20"/>
              </w:rPr>
            </w:pPr>
            <w:r w:rsidRPr="004D40EA">
              <w:rPr>
                <w:rFonts w:ascii="Avenir Next LT Pro" w:hAnsi="Avenir Next LT Pro"/>
                <w:b/>
                <w:sz w:val="20"/>
                <w:szCs w:val="20"/>
              </w:rPr>
              <w:t>Total MSYs</w:t>
            </w:r>
          </w:p>
        </w:tc>
        <w:tc>
          <w:tcPr>
            <w:tcW w:w="1458" w:type="dxa"/>
            <w:shd w:val="clear" w:color="auto" w:fill="auto"/>
          </w:tcPr>
          <w:p w14:paraId="2CED9876" w14:textId="77777777" w:rsidR="0041126D" w:rsidRPr="004D40EA" w:rsidRDefault="0041126D">
            <w:pPr>
              <w:spacing w:after="0" w:line="240" w:lineRule="auto"/>
              <w:contextualSpacing/>
              <w:jc w:val="center"/>
              <w:rPr>
                <w:rFonts w:ascii="Avenir Next LT Pro" w:hAnsi="Avenir Next LT Pro"/>
                <w:b/>
                <w:sz w:val="20"/>
                <w:szCs w:val="20"/>
              </w:rPr>
            </w:pPr>
            <w:r w:rsidRPr="004D40EA">
              <w:rPr>
                <w:rFonts w:ascii="Avenir Next LT Pro" w:hAnsi="Avenir Next LT Pro"/>
                <w:b/>
                <w:sz w:val="20"/>
                <w:szCs w:val="20"/>
              </w:rPr>
              <w:t>50.5</w:t>
            </w:r>
          </w:p>
        </w:tc>
      </w:tr>
    </w:tbl>
    <w:p w14:paraId="12B58E24" w14:textId="77777777" w:rsidR="0041126D" w:rsidRPr="004D40EA" w:rsidRDefault="0041126D" w:rsidP="0041126D">
      <w:pPr>
        <w:spacing w:after="0" w:line="240" w:lineRule="auto"/>
        <w:contextualSpacing/>
        <w:rPr>
          <w:rFonts w:ascii="Avenir Next LT Pro" w:hAnsi="Avenir Next LT Pro"/>
          <w:b/>
          <w:sz w:val="20"/>
          <w:szCs w:val="20"/>
        </w:rPr>
      </w:pPr>
    </w:p>
    <w:p w14:paraId="5A1AA842"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It Looks on the MSY Tab</w:t>
      </w:r>
    </w:p>
    <w:p w14:paraId="4BB5DA1F" w14:textId="77777777" w:rsidR="0041126D" w:rsidRPr="004D40EA" w:rsidRDefault="0041126D" w:rsidP="0041126D">
      <w:pPr>
        <w:spacing w:after="0" w:line="240" w:lineRule="auto"/>
        <w:contextualSpacing/>
        <w:rPr>
          <w:rFonts w:ascii="Avenir Next LT Pro" w:hAnsi="Avenir Next LT Pro"/>
          <w:sz w:val="20"/>
          <w:szCs w:val="20"/>
        </w:rPr>
      </w:pPr>
    </w:p>
    <w:p w14:paraId="1A7DB18E"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The program enters the total number of MSYs and members for each objective on the MSY/Members tab of the performance measures module.  The system automatically calculates the percentage of MSYs allocated to each objective.</w:t>
      </w:r>
    </w:p>
    <w:p w14:paraId="63114357"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noProof/>
          <w:sz w:val="20"/>
          <w:szCs w:val="20"/>
        </w:rPr>
        <w:lastRenderedPageBreak/>
        <w:drawing>
          <wp:inline distT="0" distB="0" distL="0" distR="0" wp14:anchorId="0252B980" wp14:editId="3AA304C5">
            <wp:extent cx="5943600"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828925"/>
                    </a:xfrm>
                    <a:prstGeom prst="rect">
                      <a:avLst/>
                    </a:prstGeom>
                    <a:noFill/>
                    <a:ln>
                      <a:noFill/>
                    </a:ln>
                  </pic:spPr>
                </pic:pic>
              </a:graphicData>
            </a:graphic>
          </wp:inline>
        </w:drawing>
      </w:r>
    </w:p>
    <w:p w14:paraId="285147A2" w14:textId="77777777" w:rsidR="0041126D" w:rsidRPr="004D40EA" w:rsidRDefault="0041126D" w:rsidP="0041126D">
      <w:pPr>
        <w:spacing w:after="0" w:line="240" w:lineRule="auto"/>
        <w:contextualSpacing/>
        <w:rPr>
          <w:rFonts w:ascii="Avenir Next LT Pro" w:hAnsi="Avenir Next LT Pro"/>
          <w:sz w:val="20"/>
          <w:szCs w:val="20"/>
        </w:rPr>
      </w:pPr>
    </w:p>
    <w:p w14:paraId="5135E253" w14:textId="77777777" w:rsidR="0041126D" w:rsidRPr="004D40EA" w:rsidRDefault="0041126D" w:rsidP="0041126D">
      <w:pPr>
        <w:spacing w:after="0" w:line="240" w:lineRule="auto"/>
        <w:contextualSpacing/>
        <w:rPr>
          <w:rFonts w:ascii="Avenir Next LT Pro" w:hAnsi="Avenir Next LT Pro"/>
          <w:i/>
          <w:sz w:val="20"/>
          <w:szCs w:val="20"/>
        </w:rPr>
      </w:pPr>
      <w:r w:rsidRPr="004D40EA">
        <w:rPr>
          <w:rFonts w:ascii="Avenir Next LT Pro" w:hAnsi="Avenir Next LT Pro"/>
          <w:i/>
          <w:sz w:val="20"/>
          <w:szCs w:val="20"/>
        </w:rPr>
        <w:t>Note: Programs that select the Find Opportunity objective (Economic Opportunity Focus Area) or the Teacher Corps objective (Education Focus Area) must enter 0 MSYs and members for these objectives and allocate their MSYs to other objectives.  This is because the MSY allocations are designed to show how programs’ resources are allocated to activities that benefit the community.  The Find Opportunity and Teacher Corps objectives are focused on benefits to members.</w:t>
      </w:r>
    </w:p>
    <w:p w14:paraId="1B386724" w14:textId="77777777" w:rsidR="0041126D" w:rsidRPr="004D40EA" w:rsidRDefault="0041126D" w:rsidP="0041126D">
      <w:pPr>
        <w:spacing w:after="0" w:line="240" w:lineRule="auto"/>
        <w:contextualSpacing/>
        <w:rPr>
          <w:rFonts w:ascii="Avenir Next LT Pro" w:hAnsi="Avenir Next LT Pro"/>
          <w:b/>
          <w:sz w:val="20"/>
          <w:szCs w:val="20"/>
        </w:rPr>
      </w:pPr>
    </w:p>
    <w:p w14:paraId="5DD99383"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It Looks in the 424 PDF</w:t>
      </w:r>
    </w:p>
    <w:p w14:paraId="7EFCF4B5" w14:textId="77777777" w:rsidR="0041126D" w:rsidRPr="004D40EA" w:rsidRDefault="0041126D" w:rsidP="0041126D">
      <w:pPr>
        <w:spacing w:after="0" w:line="240" w:lineRule="auto"/>
        <w:contextualSpacing/>
        <w:rPr>
          <w:rFonts w:ascii="Avenir Next LT Pro" w:hAnsi="Avenir Next LT Pro"/>
          <w:sz w:val="20"/>
          <w:szCs w:val="20"/>
        </w:rPr>
      </w:pPr>
    </w:p>
    <w:p w14:paraId="4944C814"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Table 1 and its corresponding pie chart show the total number of MSYs by Focus Area.  Since both the K-12 Success and School Readiness objectives are in the Education Focus Area, Table 1 shows 100% of MSYs in Education.</w:t>
      </w:r>
    </w:p>
    <w:p w14:paraId="6EBC78B6" w14:textId="77777777" w:rsidR="0041126D" w:rsidRPr="004D40EA" w:rsidRDefault="0041126D" w:rsidP="0041126D">
      <w:pPr>
        <w:spacing w:after="0" w:line="240" w:lineRule="auto"/>
        <w:contextualSpacing/>
        <w:jc w:val="center"/>
        <w:rPr>
          <w:rFonts w:ascii="Avenir Next LT Pro" w:hAnsi="Avenir Next LT Pro"/>
          <w:b/>
          <w:sz w:val="20"/>
          <w:szCs w:val="20"/>
        </w:rPr>
      </w:pPr>
      <w:r w:rsidRPr="004D40EA">
        <w:rPr>
          <w:rFonts w:ascii="Avenir Next LT Pro" w:hAnsi="Avenir Next LT Pro"/>
          <w:b/>
          <w:noProof/>
          <w:sz w:val="20"/>
          <w:szCs w:val="20"/>
        </w:rPr>
        <w:drawing>
          <wp:inline distT="0" distB="0" distL="0" distR="0" wp14:anchorId="1AFAC5EC" wp14:editId="2187BCBD">
            <wp:extent cx="3743960" cy="272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3960" cy="2720975"/>
                    </a:xfrm>
                    <a:prstGeom prst="rect">
                      <a:avLst/>
                    </a:prstGeom>
                    <a:noFill/>
                    <a:ln>
                      <a:noFill/>
                    </a:ln>
                  </pic:spPr>
                </pic:pic>
              </a:graphicData>
            </a:graphic>
          </wp:inline>
        </w:drawing>
      </w:r>
    </w:p>
    <w:p w14:paraId="4F6FC8F7"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type="page"/>
      </w:r>
      <w:r w:rsidRPr="004D40EA">
        <w:rPr>
          <w:rFonts w:ascii="Avenir Next LT Pro" w:hAnsi="Avenir Next LT Pro"/>
          <w:sz w:val="20"/>
          <w:szCs w:val="20"/>
        </w:rPr>
        <w:lastRenderedPageBreak/>
        <w:t xml:space="preserve">Table 4 in the PDF report shows the number of </w:t>
      </w:r>
      <w:proofErr w:type="gramStart"/>
      <w:r w:rsidRPr="004D40EA">
        <w:rPr>
          <w:rFonts w:ascii="Avenir Next LT Pro" w:hAnsi="Avenir Next LT Pro"/>
          <w:sz w:val="20"/>
          <w:szCs w:val="20"/>
        </w:rPr>
        <w:t>MSYs</w:t>
      </w:r>
      <w:proofErr w:type="gramEnd"/>
      <w:r w:rsidRPr="004D40EA">
        <w:rPr>
          <w:rFonts w:ascii="Avenir Next LT Pro" w:hAnsi="Avenir Next LT Pro"/>
          <w:sz w:val="20"/>
          <w:szCs w:val="20"/>
        </w:rPr>
        <w:t xml:space="preserve"> and members allocated to each objective, as seen on the MSY/Members tab:</w:t>
      </w:r>
    </w:p>
    <w:p w14:paraId="0E7D8679" w14:textId="77777777" w:rsidR="0041126D" w:rsidRPr="004D40EA" w:rsidRDefault="0041126D" w:rsidP="0041126D">
      <w:pPr>
        <w:spacing w:after="0" w:line="240" w:lineRule="auto"/>
        <w:contextualSpacing/>
        <w:rPr>
          <w:rFonts w:ascii="Avenir Next LT Pro" w:hAnsi="Avenir Next LT Pro"/>
          <w:sz w:val="20"/>
          <w:szCs w:val="20"/>
        </w:rPr>
      </w:pPr>
    </w:p>
    <w:p w14:paraId="009C822A" w14:textId="77777777" w:rsidR="0041126D" w:rsidRPr="004D40EA" w:rsidRDefault="0041126D" w:rsidP="0041126D">
      <w:pPr>
        <w:spacing w:after="0" w:line="240" w:lineRule="auto"/>
        <w:contextualSpacing/>
        <w:jc w:val="center"/>
        <w:rPr>
          <w:rFonts w:ascii="Avenir Next LT Pro" w:hAnsi="Avenir Next LT Pro"/>
          <w:sz w:val="20"/>
          <w:szCs w:val="20"/>
        </w:rPr>
      </w:pPr>
      <w:r w:rsidRPr="004D40EA">
        <w:rPr>
          <w:rFonts w:ascii="Avenir Next LT Pro" w:hAnsi="Avenir Next LT Pro"/>
          <w:noProof/>
          <w:sz w:val="20"/>
          <w:szCs w:val="20"/>
        </w:rPr>
        <w:drawing>
          <wp:inline distT="0" distB="0" distL="0" distR="0" wp14:anchorId="6F605581" wp14:editId="5DBD3491">
            <wp:extent cx="5368925" cy="170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8925" cy="1708150"/>
                    </a:xfrm>
                    <a:prstGeom prst="rect">
                      <a:avLst/>
                    </a:prstGeom>
                    <a:noFill/>
                    <a:ln>
                      <a:noFill/>
                    </a:ln>
                  </pic:spPr>
                </pic:pic>
              </a:graphicData>
            </a:graphic>
          </wp:inline>
        </w:drawing>
      </w:r>
    </w:p>
    <w:p w14:paraId="0F3A2D33"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Because some members are performing service related to both K-12 Success and School Readiness, the total number of members listed in this table (240) is greater than the total number of slots the program is requesting (135).  This is OK; individual members can be counted more than once if they contribute to more than one objective.  In contrast, MSYs cannot be counted more than once, because they represent the amount of member time spent on a particular objective.  As a result, the total number of MSYs listed in this table must be equal to the total MSYs the program is requesting (111.13).</w:t>
      </w:r>
    </w:p>
    <w:p w14:paraId="45E4A9E3" w14:textId="77777777" w:rsidR="0041126D" w:rsidRPr="004D40EA" w:rsidRDefault="0041126D" w:rsidP="0041126D">
      <w:pPr>
        <w:spacing w:after="0" w:line="240" w:lineRule="auto"/>
        <w:contextualSpacing/>
        <w:rPr>
          <w:rFonts w:ascii="Avenir Next LT Pro" w:hAnsi="Avenir Next LT Pro"/>
          <w:sz w:val="20"/>
          <w:szCs w:val="20"/>
        </w:rPr>
      </w:pPr>
    </w:p>
    <w:p w14:paraId="70563CD2"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Table 2 and its corresponding pie chart show the same MSY information expressed as percentages of the total MSYs:</w:t>
      </w:r>
    </w:p>
    <w:p w14:paraId="3768343C" w14:textId="77777777" w:rsidR="0041126D" w:rsidRPr="004D40EA" w:rsidRDefault="0041126D" w:rsidP="0041126D">
      <w:pPr>
        <w:spacing w:after="0" w:line="240" w:lineRule="auto"/>
        <w:contextualSpacing/>
        <w:jc w:val="center"/>
        <w:rPr>
          <w:rFonts w:ascii="Avenir Next LT Pro" w:hAnsi="Avenir Next LT Pro"/>
          <w:sz w:val="20"/>
          <w:szCs w:val="20"/>
        </w:rPr>
      </w:pPr>
      <w:r w:rsidRPr="004D40EA">
        <w:rPr>
          <w:rFonts w:ascii="Avenir Next LT Pro" w:hAnsi="Avenir Next LT Pro"/>
          <w:noProof/>
          <w:sz w:val="20"/>
          <w:szCs w:val="20"/>
        </w:rPr>
        <w:drawing>
          <wp:inline distT="0" distB="0" distL="0" distR="0" wp14:anchorId="3E967E82" wp14:editId="2E802748">
            <wp:extent cx="3651250" cy="30880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1250" cy="3088005"/>
                    </a:xfrm>
                    <a:prstGeom prst="rect">
                      <a:avLst/>
                    </a:prstGeom>
                    <a:noFill/>
                    <a:ln>
                      <a:noFill/>
                    </a:ln>
                  </pic:spPr>
                </pic:pic>
              </a:graphicData>
            </a:graphic>
          </wp:inline>
        </w:drawing>
      </w:r>
    </w:p>
    <w:p w14:paraId="33A8A3A9"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to Assign MSYs to Performance Measures</w:t>
      </w:r>
    </w:p>
    <w:p w14:paraId="679B5745" w14:textId="77777777" w:rsidR="0041126D" w:rsidRPr="004D40EA" w:rsidRDefault="0041126D" w:rsidP="0041126D">
      <w:pPr>
        <w:spacing w:after="0" w:line="240" w:lineRule="auto"/>
        <w:contextualSpacing/>
        <w:rPr>
          <w:rFonts w:ascii="Avenir Next LT Pro" w:hAnsi="Avenir Next LT Pro"/>
          <w:b/>
          <w:sz w:val="20"/>
          <w:szCs w:val="20"/>
        </w:rPr>
      </w:pPr>
    </w:p>
    <w:p w14:paraId="4D6FD9D7"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When a program creates a performance measure, it must indicate how many MSYs and how many members will contribute to the measure.  Based on the MSY allocations already entered for the sample program, the program may allocate up to 60.63 MSYs to K-12 Success performance measures and up to 50.5 MSYs to School Readiness performance measures.  However, programs are not required to measure all of their activities, so it is possible that not all of these MSYs will be allocated to performance measures.  </w:t>
      </w:r>
    </w:p>
    <w:p w14:paraId="5704FCE6"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br w:type="page"/>
      </w:r>
    </w:p>
    <w:p w14:paraId="7566DDB1"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lastRenderedPageBreak/>
        <w:t xml:space="preserve">Our sample program has three performance measures, one (an aligned measure) under the K-12 Success objective and two (an output-only measure and an applicant determined measure) under the School Readiness objective.  </w:t>
      </w:r>
    </w:p>
    <w:p w14:paraId="0653BCDA" w14:textId="77777777" w:rsidR="0041126D" w:rsidRPr="004D40EA" w:rsidRDefault="0041126D" w:rsidP="0041126D">
      <w:pPr>
        <w:spacing w:after="0" w:line="240" w:lineRule="auto"/>
        <w:contextualSpacing/>
        <w:rPr>
          <w:rFonts w:ascii="Avenir Next LT Pro" w:hAnsi="Avenir Next LT Pr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1461"/>
        <w:gridCol w:w="2322"/>
        <w:gridCol w:w="270"/>
        <w:gridCol w:w="1350"/>
        <w:gridCol w:w="360"/>
        <w:gridCol w:w="1710"/>
      </w:tblGrid>
      <w:tr w:rsidR="0041126D" w:rsidRPr="004D40EA" w14:paraId="419C7720" w14:textId="77777777">
        <w:tc>
          <w:tcPr>
            <w:tcW w:w="9378" w:type="dxa"/>
            <w:gridSpan w:val="7"/>
            <w:shd w:val="clear" w:color="auto" w:fill="auto"/>
          </w:tcPr>
          <w:p w14:paraId="558099E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Objective #1: K-12 Success</w:t>
            </w:r>
          </w:p>
        </w:tc>
      </w:tr>
      <w:tr w:rsidR="0041126D" w:rsidRPr="004D40EA" w14:paraId="1558E02C" w14:textId="77777777">
        <w:tc>
          <w:tcPr>
            <w:tcW w:w="1905" w:type="dxa"/>
            <w:shd w:val="clear" w:color="auto" w:fill="auto"/>
          </w:tcPr>
          <w:p w14:paraId="2A92E26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Intervention</w:t>
            </w:r>
          </w:p>
        </w:tc>
        <w:tc>
          <w:tcPr>
            <w:tcW w:w="1461" w:type="dxa"/>
            <w:shd w:val="clear" w:color="auto" w:fill="auto"/>
          </w:tcPr>
          <w:p w14:paraId="6004C38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Performance Measure</w:t>
            </w:r>
          </w:p>
        </w:tc>
        <w:tc>
          <w:tcPr>
            <w:tcW w:w="2322" w:type="dxa"/>
            <w:shd w:val="clear" w:color="auto" w:fill="auto"/>
          </w:tcPr>
          <w:p w14:paraId="31CE6677"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Percent of K-12 Success Time Spent on Activities that Contribute to this Measure</w:t>
            </w:r>
          </w:p>
        </w:tc>
        <w:tc>
          <w:tcPr>
            <w:tcW w:w="270" w:type="dxa"/>
            <w:shd w:val="clear" w:color="auto" w:fill="auto"/>
          </w:tcPr>
          <w:p w14:paraId="563DBB32"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x</w:t>
            </w:r>
          </w:p>
        </w:tc>
        <w:tc>
          <w:tcPr>
            <w:tcW w:w="1350" w:type="dxa"/>
            <w:shd w:val="clear" w:color="auto" w:fill="auto"/>
          </w:tcPr>
          <w:p w14:paraId="19435072"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Total MSYs in Objective</w:t>
            </w:r>
          </w:p>
        </w:tc>
        <w:tc>
          <w:tcPr>
            <w:tcW w:w="360" w:type="dxa"/>
            <w:shd w:val="clear" w:color="auto" w:fill="auto"/>
          </w:tcPr>
          <w:p w14:paraId="4671F2BD"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w:t>
            </w:r>
          </w:p>
        </w:tc>
        <w:tc>
          <w:tcPr>
            <w:tcW w:w="1710" w:type="dxa"/>
            <w:shd w:val="clear" w:color="auto" w:fill="auto"/>
          </w:tcPr>
          <w:p w14:paraId="1C7A27E3"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MSYs Allocated to Performance Measure</w:t>
            </w:r>
          </w:p>
        </w:tc>
      </w:tr>
      <w:tr w:rsidR="0041126D" w:rsidRPr="004D40EA" w14:paraId="69C89F78" w14:textId="77777777">
        <w:tc>
          <w:tcPr>
            <w:tcW w:w="1905" w:type="dxa"/>
            <w:shd w:val="clear" w:color="auto" w:fill="auto"/>
          </w:tcPr>
          <w:p w14:paraId="0D9CAE0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Mentoring*</w:t>
            </w:r>
          </w:p>
        </w:tc>
        <w:tc>
          <w:tcPr>
            <w:tcW w:w="1461" w:type="dxa"/>
            <w:shd w:val="clear" w:color="auto" w:fill="auto"/>
          </w:tcPr>
          <w:p w14:paraId="4ECC5B2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 ED27C</w:t>
            </w:r>
          </w:p>
        </w:tc>
        <w:tc>
          <w:tcPr>
            <w:tcW w:w="2322" w:type="dxa"/>
            <w:shd w:val="clear" w:color="auto" w:fill="auto"/>
          </w:tcPr>
          <w:p w14:paraId="10D15AC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.75</w:t>
            </w:r>
          </w:p>
        </w:tc>
        <w:tc>
          <w:tcPr>
            <w:tcW w:w="270" w:type="dxa"/>
            <w:shd w:val="clear" w:color="auto" w:fill="auto"/>
          </w:tcPr>
          <w:p w14:paraId="4A956BCC"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x</w:t>
            </w:r>
          </w:p>
        </w:tc>
        <w:tc>
          <w:tcPr>
            <w:tcW w:w="1350" w:type="dxa"/>
            <w:shd w:val="clear" w:color="auto" w:fill="auto"/>
          </w:tcPr>
          <w:p w14:paraId="61555E94"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60.63</w:t>
            </w:r>
          </w:p>
        </w:tc>
        <w:tc>
          <w:tcPr>
            <w:tcW w:w="360" w:type="dxa"/>
            <w:shd w:val="clear" w:color="auto" w:fill="auto"/>
          </w:tcPr>
          <w:p w14:paraId="231A3C1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w:t>
            </w:r>
          </w:p>
        </w:tc>
        <w:tc>
          <w:tcPr>
            <w:tcW w:w="1710" w:type="dxa"/>
            <w:shd w:val="clear" w:color="auto" w:fill="auto"/>
          </w:tcPr>
          <w:p w14:paraId="407F2C0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45.47</w:t>
            </w:r>
          </w:p>
        </w:tc>
      </w:tr>
      <w:tr w:rsidR="0041126D" w:rsidRPr="004D40EA" w14:paraId="0A683A9A" w14:textId="77777777">
        <w:tc>
          <w:tcPr>
            <w:tcW w:w="1905" w:type="dxa"/>
            <w:shd w:val="clear" w:color="auto" w:fill="auto"/>
          </w:tcPr>
          <w:p w14:paraId="509AAEC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Family Involvement</w:t>
            </w:r>
          </w:p>
        </w:tc>
        <w:tc>
          <w:tcPr>
            <w:tcW w:w="1461" w:type="dxa"/>
            <w:shd w:val="clear" w:color="auto" w:fill="auto"/>
          </w:tcPr>
          <w:p w14:paraId="592F457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No Performance Measure</w:t>
            </w:r>
          </w:p>
        </w:tc>
        <w:tc>
          <w:tcPr>
            <w:tcW w:w="2322" w:type="dxa"/>
            <w:shd w:val="clear" w:color="auto" w:fill="auto"/>
          </w:tcPr>
          <w:p w14:paraId="0588727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.25</w:t>
            </w:r>
          </w:p>
        </w:tc>
        <w:tc>
          <w:tcPr>
            <w:tcW w:w="270" w:type="dxa"/>
            <w:shd w:val="clear" w:color="auto" w:fill="auto"/>
          </w:tcPr>
          <w:p w14:paraId="5E9B4A3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x</w:t>
            </w:r>
          </w:p>
        </w:tc>
        <w:tc>
          <w:tcPr>
            <w:tcW w:w="1350" w:type="dxa"/>
            <w:shd w:val="clear" w:color="auto" w:fill="auto"/>
          </w:tcPr>
          <w:p w14:paraId="067A1E49"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60.63</w:t>
            </w:r>
          </w:p>
        </w:tc>
        <w:tc>
          <w:tcPr>
            <w:tcW w:w="360" w:type="dxa"/>
            <w:shd w:val="clear" w:color="auto" w:fill="auto"/>
          </w:tcPr>
          <w:p w14:paraId="15E879E3" w14:textId="77777777" w:rsidR="0041126D" w:rsidRPr="004D40EA" w:rsidRDefault="0041126D">
            <w:pPr>
              <w:spacing w:after="0" w:line="240" w:lineRule="auto"/>
              <w:contextualSpacing/>
              <w:rPr>
                <w:rFonts w:ascii="Avenir Next LT Pro" w:hAnsi="Avenir Next LT Pro"/>
                <w:sz w:val="20"/>
                <w:szCs w:val="20"/>
              </w:rPr>
            </w:pPr>
          </w:p>
        </w:tc>
        <w:tc>
          <w:tcPr>
            <w:tcW w:w="1710" w:type="dxa"/>
            <w:shd w:val="clear" w:color="auto" w:fill="auto"/>
          </w:tcPr>
          <w:p w14:paraId="1298C91E"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NA</w:t>
            </w:r>
          </w:p>
        </w:tc>
      </w:tr>
    </w:tbl>
    <w:p w14:paraId="5B9CC9FC"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*This is the primary intervention</w:t>
      </w:r>
    </w:p>
    <w:p w14:paraId="28FDB08D" w14:textId="77777777" w:rsidR="0041126D" w:rsidRPr="004D40EA" w:rsidRDefault="0041126D" w:rsidP="0041126D">
      <w:pPr>
        <w:spacing w:after="0" w:line="240" w:lineRule="auto"/>
        <w:contextualSpacing/>
        <w:rPr>
          <w:rFonts w:ascii="Avenir Next LT Pro" w:hAnsi="Avenir Next LT Pro"/>
          <w:sz w:val="20"/>
          <w:szCs w:val="2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458"/>
        <w:gridCol w:w="2322"/>
        <w:gridCol w:w="270"/>
        <w:gridCol w:w="1350"/>
        <w:gridCol w:w="360"/>
        <w:gridCol w:w="1710"/>
      </w:tblGrid>
      <w:tr w:rsidR="0041126D" w:rsidRPr="004D40EA" w14:paraId="46B550F1" w14:textId="77777777">
        <w:tc>
          <w:tcPr>
            <w:tcW w:w="9378" w:type="dxa"/>
            <w:gridSpan w:val="7"/>
            <w:shd w:val="clear" w:color="auto" w:fill="auto"/>
          </w:tcPr>
          <w:p w14:paraId="276AC93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Objective #2: School Readiness</w:t>
            </w:r>
          </w:p>
        </w:tc>
      </w:tr>
      <w:tr w:rsidR="0041126D" w:rsidRPr="004D40EA" w14:paraId="0E7F949B" w14:textId="77777777">
        <w:tc>
          <w:tcPr>
            <w:tcW w:w="1908" w:type="dxa"/>
            <w:shd w:val="clear" w:color="auto" w:fill="auto"/>
          </w:tcPr>
          <w:p w14:paraId="34EEF5DC"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Intervention</w:t>
            </w:r>
          </w:p>
        </w:tc>
        <w:tc>
          <w:tcPr>
            <w:tcW w:w="1458" w:type="dxa"/>
            <w:shd w:val="clear" w:color="auto" w:fill="auto"/>
          </w:tcPr>
          <w:p w14:paraId="4E5AB743"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Performance Measure</w:t>
            </w:r>
          </w:p>
        </w:tc>
        <w:tc>
          <w:tcPr>
            <w:tcW w:w="2322" w:type="dxa"/>
            <w:shd w:val="clear" w:color="auto" w:fill="auto"/>
          </w:tcPr>
          <w:p w14:paraId="093563F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Percent of School Readiness Time Spent on Activities that Contribute to this Measure</w:t>
            </w:r>
          </w:p>
        </w:tc>
        <w:tc>
          <w:tcPr>
            <w:tcW w:w="270" w:type="dxa"/>
            <w:shd w:val="clear" w:color="auto" w:fill="auto"/>
          </w:tcPr>
          <w:p w14:paraId="6049311B"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x</w:t>
            </w:r>
          </w:p>
        </w:tc>
        <w:tc>
          <w:tcPr>
            <w:tcW w:w="1350" w:type="dxa"/>
            <w:shd w:val="clear" w:color="auto" w:fill="auto"/>
          </w:tcPr>
          <w:p w14:paraId="72EDB6FE"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Total MSYs in Objective</w:t>
            </w:r>
          </w:p>
        </w:tc>
        <w:tc>
          <w:tcPr>
            <w:tcW w:w="360" w:type="dxa"/>
            <w:shd w:val="clear" w:color="auto" w:fill="auto"/>
          </w:tcPr>
          <w:p w14:paraId="2492147A"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w:t>
            </w:r>
          </w:p>
        </w:tc>
        <w:tc>
          <w:tcPr>
            <w:tcW w:w="1710" w:type="dxa"/>
            <w:shd w:val="clear" w:color="auto" w:fill="auto"/>
          </w:tcPr>
          <w:p w14:paraId="13285CDF" w14:textId="77777777" w:rsidR="0041126D" w:rsidRPr="004D40EA" w:rsidRDefault="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MSYs Allocated to Performance Measure</w:t>
            </w:r>
          </w:p>
        </w:tc>
      </w:tr>
      <w:tr w:rsidR="0041126D" w:rsidRPr="004D40EA" w14:paraId="69C671E5" w14:textId="77777777">
        <w:tc>
          <w:tcPr>
            <w:tcW w:w="1908" w:type="dxa"/>
            <w:shd w:val="clear" w:color="auto" w:fill="auto"/>
          </w:tcPr>
          <w:p w14:paraId="4F74BD9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Other Classroom Support</w:t>
            </w:r>
          </w:p>
        </w:tc>
        <w:tc>
          <w:tcPr>
            <w:tcW w:w="1458" w:type="dxa"/>
            <w:shd w:val="clear" w:color="auto" w:fill="auto"/>
          </w:tcPr>
          <w:p w14:paraId="4C9B694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ED1A</w:t>
            </w:r>
          </w:p>
        </w:tc>
        <w:tc>
          <w:tcPr>
            <w:tcW w:w="2322" w:type="dxa"/>
            <w:shd w:val="clear" w:color="auto" w:fill="auto"/>
          </w:tcPr>
          <w:p w14:paraId="0121E36B"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.75</w:t>
            </w:r>
          </w:p>
        </w:tc>
        <w:tc>
          <w:tcPr>
            <w:tcW w:w="270" w:type="dxa"/>
            <w:shd w:val="clear" w:color="auto" w:fill="auto"/>
          </w:tcPr>
          <w:p w14:paraId="0C1E3C9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x</w:t>
            </w:r>
          </w:p>
        </w:tc>
        <w:tc>
          <w:tcPr>
            <w:tcW w:w="1350" w:type="dxa"/>
            <w:shd w:val="clear" w:color="auto" w:fill="auto"/>
          </w:tcPr>
          <w:p w14:paraId="7F063F18"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50.5</w:t>
            </w:r>
          </w:p>
        </w:tc>
        <w:tc>
          <w:tcPr>
            <w:tcW w:w="360" w:type="dxa"/>
            <w:shd w:val="clear" w:color="auto" w:fill="auto"/>
          </w:tcPr>
          <w:p w14:paraId="2DAF7ECF"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w:t>
            </w:r>
          </w:p>
        </w:tc>
        <w:tc>
          <w:tcPr>
            <w:tcW w:w="1710" w:type="dxa"/>
            <w:shd w:val="clear" w:color="auto" w:fill="auto"/>
          </w:tcPr>
          <w:p w14:paraId="40A08977"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37.88</w:t>
            </w:r>
          </w:p>
        </w:tc>
      </w:tr>
      <w:tr w:rsidR="0041126D" w:rsidRPr="004D40EA" w14:paraId="2B84EBAF" w14:textId="77777777">
        <w:tc>
          <w:tcPr>
            <w:tcW w:w="1908" w:type="dxa"/>
            <w:shd w:val="clear" w:color="auto" w:fill="auto"/>
          </w:tcPr>
          <w:p w14:paraId="7D0C4BF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Parent Engagement</w:t>
            </w:r>
          </w:p>
        </w:tc>
        <w:tc>
          <w:tcPr>
            <w:tcW w:w="1458" w:type="dxa"/>
            <w:shd w:val="clear" w:color="auto" w:fill="auto"/>
          </w:tcPr>
          <w:p w14:paraId="5BCAFA2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Applicant-Determined Measure</w:t>
            </w:r>
          </w:p>
        </w:tc>
        <w:tc>
          <w:tcPr>
            <w:tcW w:w="2322" w:type="dxa"/>
            <w:shd w:val="clear" w:color="auto" w:fill="auto"/>
          </w:tcPr>
          <w:p w14:paraId="14EC7A13"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.25</w:t>
            </w:r>
          </w:p>
        </w:tc>
        <w:tc>
          <w:tcPr>
            <w:tcW w:w="270" w:type="dxa"/>
            <w:shd w:val="clear" w:color="auto" w:fill="auto"/>
          </w:tcPr>
          <w:p w14:paraId="4F13E9B1"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x</w:t>
            </w:r>
          </w:p>
        </w:tc>
        <w:tc>
          <w:tcPr>
            <w:tcW w:w="1350" w:type="dxa"/>
            <w:shd w:val="clear" w:color="auto" w:fill="auto"/>
          </w:tcPr>
          <w:p w14:paraId="49F90D62"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50.5</w:t>
            </w:r>
          </w:p>
        </w:tc>
        <w:tc>
          <w:tcPr>
            <w:tcW w:w="360" w:type="dxa"/>
            <w:shd w:val="clear" w:color="auto" w:fill="auto"/>
          </w:tcPr>
          <w:p w14:paraId="72833985"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w:t>
            </w:r>
          </w:p>
        </w:tc>
        <w:tc>
          <w:tcPr>
            <w:tcW w:w="1710" w:type="dxa"/>
            <w:shd w:val="clear" w:color="auto" w:fill="auto"/>
          </w:tcPr>
          <w:p w14:paraId="2F42AA1D" w14:textId="77777777" w:rsidR="0041126D" w:rsidRPr="004D40EA" w:rsidRDefault="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12.62</w:t>
            </w:r>
          </w:p>
        </w:tc>
      </w:tr>
    </w:tbl>
    <w:p w14:paraId="2552678D" w14:textId="77777777" w:rsidR="0041126D" w:rsidRPr="004D40EA" w:rsidRDefault="0041126D" w:rsidP="0041126D">
      <w:pPr>
        <w:spacing w:after="0" w:line="240" w:lineRule="auto"/>
        <w:contextualSpacing/>
        <w:rPr>
          <w:rFonts w:ascii="Avenir Next LT Pro" w:hAnsi="Avenir Next LT Pro"/>
          <w:sz w:val="20"/>
          <w:szCs w:val="20"/>
        </w:rPr>
      </w:pPr>
    </w:p>
    <w:p w14:paraId="655B50EE" w14:textId="77777777" w:rsidR="0041126D" w:rsidRPr="004D40EA" w:rsidRDefault="0041126D" w:rsidP="0041126D">
      <w:pPr>
        <w:spacing w:after="0" w:line="240" w:lineRule="auto"/>
        <w:contextualSpacing/>
        <w:rPr>
          <w:rFonts w:ascii="Avenir Next LT Pro" w:hAnsi="Avenir Next LT Pro"/>
          <w:b/>
          <w:sz w:val="20"/>
          <w:szCs w:val="20"/>
        </w:rPr>
      </w:pPr>
      <w:r w:rsidRPr="004D40EA">
        <w:rPr>
          <w:rFonts w:ascii="Avenir Next LT Pro" w:hAnsi="Avenir Next LT Pro"/>
          <w:b/>
          <w:sz w:val="20"/>
          <w:szCs w:val="20"/>
        </w:rPr>
        <w:t>How It Looks in the 424 PDF</w:t>
      </w:r>
    </w:p>
    <w:p w14:paraId="7B3CA9F3" w14:textId="77777777" w:rsidR="0041126D" w:rsidRPr="004D40EA" w:rsidRDefault="0041126D" w:rsidP="0041126D">
      <w:pPr>
        <w:spacing w:after="0" w:line="240" w:lineRule="auto"/>
        <w:contextualSpacing/>
        <w:rPr>
          <w:rFonts w:ascii="Avenir Next LT Pro" w:hAnsi="Avenir Next LT Pro"/>
          <w:sz w:val="20"/>
          <w:szCs w:val="20"/>
        </w:rPr>
      </w:pPr>
    </w:p>
    <w:p w14:paraId="6150DA45"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Table 3 and its corresponding pie chart in the 424 PDF report shows the percentage of MSYs allocated to National Performance Measures, applicant-determined performance measures, or no performance measures.  As seen in the table above, the program has two National Performance Measures (ED1A/27C and ED1A), accounting for 83.35 of the 111.13 total MSYs (75%).  The program has one applicant-determined measure accounting for 12.62 MSYs (11%), and the remaining percentage (14%) of program activity is not being measured.</w:t>
      </w:r>
    </w:p>
    <w:p w14:paraId="75D260CE" w14:textId="77777777" w:rsidR="0041126D" w:rsidRPr="004D40EA" w:rsidRDefault="0041126D" w:rsidP="0041126D">
      <w:pPr>
        <w:spacing w:after="0" w:line="240" w:lineRule="auto"/>
        <w:contextualSpacing/>
        <w:jc w:val="center"/>
        <w:rPr>
          <w:rFonts w:ascii="Avenir Next LT Pro" w:hAnsi="Avenir Next LT Pro"/>
          <w:b/>
          <w:sz w:val="20"/>
          <w:szCs w:val="20"/>
        </w:rPr>
      </w:pPr>
      <w:r w:rsidRPr="004D40EA">
        <w:rPr>
          <w:rFonts w:ascii="Avenir Next LT Pro" w:hAnsi="Avenir Next LT Pro"/>
          <w:b/>
          <w:noProof/>
          <w:sz w:val="20"/>
          <w:szCs w:val="20"/>
        </w:rPr>
        <w:lastRenderedPageBreak/>
        <w:drawing>
          <wp:inline distT="0" distB="0" distL="0" distR="0" wp14:anchorId="056FB7C5" wp14:editId="29E9C667">
            <wp:extent cx="3956050" cy="25723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6050" cy="2572385"/>
                    </a:xfrm>
                    <a:prstGeom prst="rect">
                      <a:avLst/>
                    </a:prstGeom>
                    <a:noFill/>
                    <a:ln>
                      <a:noFill/>
                    </a:ln>
                  </pic:spPr>
                </pic:pic>
              </a:graphicData>
            </a:graphic>
          </wp:inline>
        </w:drawing>
      </w:r>
    </w:p>
    <w:p w14:paraId="22D8B394"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 xml:space="preserve">The configuration above meets the AmeriCorps requirement to have one aligned performance measure (output + outcome) corresponding to the primary intervention.  Programs are not required to allocate 100% of their MSYs and members to National Performance Measures, or to any performance measures at all.  </w:t>
      </w:r>
    </w:p>
    <w:p w14:paraId="6E6DE83D" w14:textId="77777777" w:rsidR="0041126D" w:rsidRPr="004D40EA" w:rsidRDefault="0041126D" w:rsidP="0041126D">
      <w:pPr>
        <w:spacing w:after="0" w:line="240" w:lineRule="auto"/>
        <w:contextualSpacing/>
        <w:rPr>
          <w:rFonts w:ascii="Avenir Next LT Pro" w:hAnsi="Avenir Next LT Pro"/>
          <w:b/>
          <w:sz w:val="20"/>
          <w:szCs w:val="20"/>
        </w:rPr>
      </w:pPr>
    </w:p>
    <w:p w14:paraId="09736433" w14:textId="77777777" w:rsidR="0041126D" w:rsidRPr="004D40EA" w:rsidRDefault="0041126D" w:rsidP="0041126D">
      <w:pPr>
        <w:pStyle w:val="Style1"/>
        <w:outlineLvl w:val="0"/>
        <w:rPr>
          <w:rFonts w:ascii="Avenir Next LT Pro" w:hAnsi="Avenir Next LT Pro"/>
        </w:rPr>
      </w:pPr>
      <w:bookmarkStart w:id="41" w:name="AppendixB"/>
      <w:r w:rsidRPr="004D40EA">
        <w:rPr>
          <w:rFonts w:ascii="Avenir Next LT Pro" w:hAnsi="Avenir Next LT Pro"/>
        </w:rPr>
        <w:br w:type="page"/>
      </w:r>
      <w:bookmarkStart w:id="42" w:name="_Toc518377558"/>
      <w:r w:rsidRPr="004D40EA">
        <w:rPr>
          <w:rFonts w:ascii="Avenir Next LT Pro" w:hAnsi="Avenir Next LT Pro"/>
        </w:rPr>
        <w:lastRenderedPageBreak/>
        <w:t>Appendix B: Performance Measures Checklist</w:t>
      </w:r>
      <w:bookmarkEnd w:id="41"/>
      <w:bookmarkEnd w:id="42"/>
    </w:p>
    <w:p w14:paraId="2AD7ABB4" w14:textId="77777777" w:rsidR="0041126D" w:rsidRPr="004D40EA" w:rsidRDefault="0041126D" w:rsidP="0041126D">
      <w:pPr>
        <w:spacing w:after="0" w:line="240" w:lineRule="auto"/>
        <w:contextualSpacing/>
        <w:jc w:val="center"/>
        <w:rPr>
          <w:rFonts w:ascii="Avenir Next LT Pro" w:hAnsi="Avenir Next LT Pro"/>
          <w:b/>
          <w:sz w:val="20"/>
          <w:szCs w:val="20"/>
        </w:rPr>
      </w:pPr>
    </w:p>
    <w:p w14:paraId="2EE2F48E"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This checklist is used to assess performance measures during the review process.  Items on the checklist are common problems that require resolution but do not represent a comprehensive list.  Refer to the Performance Measure Instructions for full requirements.</w:t>
      </w:r>
    </w:p>
    <w:p w14:paraId="53CCAF18"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760"/>
        <w:gridCol w:w="1170"/>
        <w:gridCol w:w="1170"/>
        <w:gridCol w:w="1170"/>
      </w:tblGrid>
      <w:tr w:rsidR="0041126D" w:rsidRPr="004D40EA" w14:paraId="1917626A" w14:textId="77777777">
        <w:tc>
          <w:tcPr>
            <w:tcW w:w="6228" w:type="dxa"/>
            <w:gridSpan w:val="2"/>
            <w:shd w:val="clear" w:color="auto" w:fill="auto"/>
          </w:tcPr>
          <w:p w14:paraId="6E661ECE"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Checklist Item</w:t>
            </w:r>
          </w:p>
        </w:tc>
        <w:tc>
          <w:tcPr>
            <w:tcW w:w="1170" w:type="dxa"/>
            <w:shd w:val="clear" w:color="auto" w:fill="auto"/>
          </w:tcPr>
          <w:p w14:paraId="5EB8C509"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Primary Aligned Measure (required)</w:t>
            </w:r>
          </w:p>
        </w:tc>
        <w:tc>
          <w:tcPr>
            <w:tcW w:w="1170" w:type="dxa"/>
            <w:shd w:val="clear" w:color="auto" w:fill="auto"/>
          </w:tcPr>
          <w:p w14:paraId="716BE260"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 xml:space="preserve">Additional Measure </w:t>
            </w:r>
          </w:p>
          <w:p w14:paraId="52D88398"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(optional)</w:t>
            </w:r>
          </w:p>
        </w:tc>
        <w:tc>
          <w:tcPr>
            <w:tcW w:w="1170" w:type="dxa"/>
            <w:shd w:val="clear" w:color="auto" w:fill="auto"/>
          </w:tcPr>
          <w:p w14:paraId="573D4ED6"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 xml:space="preserve">Additional Measure </w:t>
            </w:r>
          </w:p>
          <w:p w14:paraId="660641CE"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(optional)</w:t>
            </w:r>
          </w:p>
        </w:tc>
      </w:tr>
      <w:tr w:rsidR="0041126D" w:rsidRPr="004D40EA" w14:paraId="4B3CDC1E" w14:textId="77777777">
        <w:tc>
          <w:tcPr>
            <w:tcW w:w="9738" w:type="dxa"/>
            <w:gridSpan w:val="5"/>
            <w:shd w:val="clear" w:color="auto" w:fill="BFBFBF"/>
          </w:tcPr>
          <w:p w14:paraId="31274989"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Resource Allocation</w:t>
            </w:r>
          </w:p>
        </w:tc>
      </w:tr>
      <w:tr w:rsidR="0041126D" w:rsidRPr="004D40EA" w14:paraId="2F627045" w14:textId="77777777">
        <w:tc>
          <w:tcPr>
            <w:tcW w:w="468" w:type="dxa"/>
            <w:shd w:val="clear" w:color="auto" w:fill="auto"/>
          </w:tcPr>
          <w:p w14:paraId="78D55272"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w:t>
            </w:r>
          </w:p>
        </w:tc>
        <w:tc>
          <w:tcPr>
            <w:tcW w:w="5760" w:type="dxa"/>
            <w:shd w:val="clear" w:color="auto" w:fill="auto"/>
          </w:tcPr>
          <w:p w14:paraId="2AC8E0AB"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MSY and member allocations to focus areas and objectives are consistent with the application narrative/logic model.</w:t>
            </w:r>
          </w:p>
        </w:tc>
        <w:tc>
          <w:tcPr>
            <w:tcW w:w="3510" w:type="dxa"/>
            <w:gridSpan w:val="3"/>
            <w:shd w:val="clear" w:color="auto" w:fill="auto"/>
          </w:tcPr>
          <w:p w14:paraId="775FC05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59B7954A" w14:textId="77777777">
        <w:tc>
          <w:tcPr>
            <w:tcW w:w="468" w:type="dxa"/>
            <w:shd w:val="clear" w:color="auto" w:fill="auto"/>
          </w:tcPr>
          <w:p w14:paraId="6E79D66A"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2</w:t>
            </w:r>
          </w:p>
        </w:tc>
        <w:tc>
          <w:tcPr>
            <w:tcW w:w="5760" w:type="dxa"/>
            <w:shd w:val="clear" w:color="auto" w:fill="auto"/>
          </w:tcPr>
          <w:p w14:paraId="5323880F"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MSY and member allocations to performance measures are consistent with the application narrative/logic model.</w:t>
            </w:r>
          </w:p>
        </w:tc>
        <w:tc>
          <w:tcPr>
            <w:tcW w:w="1170" w:type="dxa"/>
            <w:shd w:val="clear" w:color="auto" w:fill="auto"/>
          </w:tcPr>
          <w:p w14:paraId="1527827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27C5C37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68E9503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26912D04" w14:textId="77777777">
        <w:tc>
          <w:tcPr>
            <w:tcW w:w="9738" w:type="dxa"/>
            <w:gridSpan w:val="5"/>
            <w:shd w:val="clear" w:color="auto" w:fill="BFBFBF"/>
          </w:tcPr>
          <w:p w14:paraId="72E71803"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Performance Measure Requirements</w:t>
            </w:r>
          </w:p>
        </w:tc>
      </w:tr>
      <w:tr w:rsidR="0041126D" w:rsidRPr="004D40EA" w14:paraId="3B2FCDE5" w14:textId="77777777">
        <w:tc>
          <w:tcPr>
            <w:tcW w:w="468" w:type="dxa"/>
            <w:shd w:val="clear" w:color="auto" w:fill="auto"/>
          </w:tcPr>
          <w:p w14:paraId="2A78CB1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3</w:t>
            </w:r>
          </w:p>
        </w:tc>
        <w:tc>
          <w:tcPr>
            <w:tcW w:w="5760" w:type="dxa"/>
            <w:shd w:val="clear" w:color="auto" w:fill="auto"/>
          </w:tcPr>
          <w:p w14:paraId="77142CFC"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The application includes least 1 aligned performance measure (output + outcome) corresponding to the primary intervention.</w:t>
            </w:r>
          </w:p>
        </w:tc>
        <w:tc>
          <w:tcPr>
            <w:tcW w:w="3510" w:type="dxa"/>
            <w:gridSpan w:val="3"/>
            <w:shd w:val="clear" w:color="auto" w:fill="auto"/>
          </w:tcPr>
          <w:p w14:paraId="5C0EB482"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143795D9" w14:textId="77777777">
        <w:tc>
          <w:tcPr>
            <w:tcW w:w="468" w:type="dxa"/>
            <w:shd w:val="clear" w:color="auto" w:fill="auto"/>
          </w:tcPr>
          <w:p w14:paraId="33FAAEE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4</w:t>
            </w:r>
          </w:p>
        </w:tc>
        <w:tc>
          <w:tcPr>
            <w:tcW w:w="5760" w:type="dxa"/>
            <w:shd w:val="clear" w:color="auto" w:fill="auto"/>
          </w:tcPr>
          <w:p w14:paraId="331465D4"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All performance measures reflect significant program activities whose outputs and outcomes are consistent with the applicant’s core theory of change.</w:t>
            </w:r>
          </w:p>
        </w:tc>
        <w:tc>
          <w:tcPr>
            <w:tcW w:w="1170" w:type="dxa"/>
            <w:shd w:val="clear" w:color="auto" w:fill="auto"/>
          </w:tcPr>
          <w:p w14:paraId="3093394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1B0A1D2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6E0D6DBB"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1216326C" w14:textId="77777777">
        <w:tc>
          <w:tcPr>
            <w:tcW w:w="468" w:type="dxa"/>
            <w:shd w:val="clear" w:color="auto" w:fill="auto"/>
          </w:tcPr>
          <w:p w14:paraId="337C6380"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5</w:t>
            </w:r>
          </w:p>
        </w:tc>
        <w:tc>
          <w:tcPr>
            <w:tcW w:w="5760" w:type="dxa"/>
            <w:shd w:val="clear" w:color="auto" w:fill="auto"/>
          </w:tcPr>
          <w:p w14:paraId="4601EBC8"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Any output-only measures included in the application consist solely of National Performance Measure outputs.</w:t>
            </w:r>
          </w:p>
        </w:tc>
        <w:tc>
          <w:tcPr>
            <w:tcW w:w="1170" w:type="dxa"/>
            <w:shd w:val="clear" w:color="auto" w:fill="auto"/>
          </w:tcPr>
          <w:p w14:paraId="52BF400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0E084DB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6F9A6B60"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65880222" w14:textId="77777777">
        <w:tc>
          <w:tcPr>
            <w:tcW w:w="468" w:type="dxa"/>
            <w:shd w:val="clear" w:color="auto" w:fill="auto"/>
          </w:tcPr>
          <w:p w14:paraId="7899061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6</w:t>
            </w:r>
          </w:p>
        </w:tc>
        <w:tc>
          <w:tcPr>
            <w:tcW w:w="5760" w:type="dxa"/>
            <w:shd w:val="clear" w:color="auto" w:fill="auto"/>
          </w:tcPr>
          <w:p w14:paraId="218C7F2C"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 xml:space="preserve">The application does not include applicant-determined measures that duplicate existing National Performance Measures. </w:t>
            </w:r>
            <w:r w:rsidRPr="004D40EA">
              <w:rPr>
                <w:rFonts w:ascii="Avenir Next LT Pro" w:hAnsi="Avenir Next LT Pro"/>
                <w:i/>
                <w:iCs/>
                <w:color w:val="000000"/>
                <w:sz w:val="20"/>
                <w:szCs w:val="20"/>
              </w:rPr>
              <w:t xml:space="preserve"> (Note: Applicant-determined measures are recognizable by the labels OUTPT or OUTCM, followed by numbers. Any applications containing these labels are NOT National Performance Measures, even if the applicant has labeled them like a national measure.)</w:t>
            </w:r>
          </w:p>
        </w:tc>
        <w:tc>
          <w:tcPr>
            <w:tcW w:w="1170" w:type="dxa"/>
            <w:shd w:val="clear" w:color="auto" w:fill="auto"/>
          </w:tcPr>
          <w:p w14:paraId="25F77F8C"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22E4D90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4067B49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3DD376EA" w14:textId="77777777">
        <w:tc>
          <w:tcPr>
            <w:tcW w:w="9738" w:type="dxa"/>
            <w:gridSpan w:val="5"/>
            <w:shd w:val="clear" w:color="auto" w:fill="BFBFBF"/>
          </w:tcPr>
          <w:p w14:paraId="2DC6C72B"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Interventions</w:t>
            </w:r>
          </w:p>
        </w:tc>
      </w:tr>
      <w:tr w:rsidR="0041126D" w:rsidRPr="004D40EA" w14:paraId="69F0588E" w14:textId="77777777">
        <w:tc>
          <w:tcPr>
            <w:tcW w:w="468" w:type="dxa"/>
            <w:shd w:val="clear" w:color="auto" w:fill="auto"/>
          </w:tcPr>
          <w:p w14:paraId="7485D4FB"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7</w:t>
            </w:r>
          </w:p>
        </w:tc>
        <w:tc>
          <w:tcPr>
            <w:tcW w:w="5760" w:type="dxa"/>
            <w:shd w:val="clear" w:color="auto" w:fill="auto"/>
          </w:tcPr>
          <w:p w14:paraId="4D48A98D"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Interventions are consistent with the program design and contribute directly to the outputs and outcomes.</w:t>
            </w:r>
          </w:p>
        </w:tc>
        <w:tc>
          <w:tcPr>
            <w:tcW w:w="1170" w:type="dxa"/>
            <w:shd w:val="clear" w:color="auto" w:fill="auto"/>
          </w:tcPr>
          <w:p w14:paraId="779D768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6ED970AF"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26C4E0C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5A77751C" w14:textId="77777777">
        <w:tc>
          <w:tcPr>
            <w:tcW w:w="468" w:type="dxa"/>
            <w:shd w:val="clear" w:color="auto" w:fill="auto"/>
          </w:tcPr>
          <w:p w14:paraId="4482421C"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8</w:t>
            </w:r>
          </w:p>
        </w:tc>
        <w:tc>
          <w:tcPr>
            <w:tcW w:w="5760" w:type="dxa"/>
            <w:shd w:val="clear" w:color="auto" w:fill="auto"/>
          </w:tcPr>
          <w:p w14:paraId="542F160B"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The application does not include user-defined intervention labels that duplicate existing system-defined intervention categories.</w:t>
            </w:r>
          </w:p>
        </w:tc>
        <w:tc>
          <w:tcPr>
            <w:tcW w:w="1170" w:type="dxa"/>
            <w:shd w:val="clear" w:color="auto" w:fill="auto"/>
          </w:tcPr>
          <w:p w14:paraId="2D6D9716"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604A00D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120EBD0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0034AF99" w14:textId="77777777">
        <w:tc>
          <w:tcPr>
            <w:tcW w:w="9738" w:type="dxa"/>
            <w:gridSpan w:val="5"/>
            <w:shd w:val="clear" w:color="auto" w:fill="BFBFBF"/>
          </w:tcPr>
          <w:p w14:paraId="33D4A7C3"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Output Quality</w:t>
            </w:r>
          </w:p>
        </w:tc>
      </w:tr>
      <w:tr w:rsidR="0041126D" w:rsidRPr="004D40EA" w14:paraId="5F5F9A45" w14:textId="77777777">
        <w:tc>
          <w:tcPr>
            <w:tcW w:w="468" w:type="dxa"/>
            <w:shd w:val="clear" w:color="auto" w:fill="auto"/>
          </w:tcPr>
          <w:p w14:paraId="00412633"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9</w:t>
            </w:r>
          </w:p>
        </w:tc>
        <w:tc>
          <w:tcPr>
            <w:tcW w:w="5760" w:type="dxa"/>
            <w:shd w:val="clear" w:color="auto" w:fill="auto"/>
          </w:tcPr>
          <w:p w14:paraId="5E632D0C"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Outputs clearly specify what is counted.</w:t>
            </w:r>
          </w:p>
        </w:tc>
        <w:tc>
          <w:tcPr>
            <w:tcW w:w="1170" w:type="dxa"/>
            <w:shd w:val="clear" w:color="auto" w:fill="auto"/>
          </w:tcPr>
          <w:p w14:paraId="1DC40841"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047D70D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5B5ED00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7112C1E0" w14:textId="77777777">
        <w:tc>
          <w:tcPr>
            <w:tcW w:w="468" w:type="dxa"/>
            <w:shd w:val="clear" w:color="auto" w:fill="auto"/>
          </w:tcPr>
          <w:p w14:paraId="71AE4153"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10</w:t>
            </w:r>
          </w:p>
        </w:tc>
        <w:tc>
          <w:tcPr>
            <w:tcW w:w="5760" w:type="dxa"/>
            <w:shd w:val="clear" w:color="auto" w:fill="auto"/>
          </w:tcPr>
          <w:p w14:paraId="450CFB72"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Outputs count only program beneficiaries, not National Service Participants.</w:t>
            </w:r>
          </w:p>
        </w:tc>
        <w:tc>
          <w:tcPr>
            <w:tcW w:w="1170" w:type="dxa"/>
            <w:shd w:val="clear" w:color="auto" w:fill="auto"/>
          </w:tcPr>
          <w:p w14:paraId="1E172CA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7A185C7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139FB5EB"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7F214B1B" w14:textId="77777777">
        <w:tc>
          <w:tcPr>
            <w:tcW w:w="9738" w:type="dxa"/>
            <w:gridSpan w:val="5"/>
            <w:shd w:val="clear" w:color="auto" w:fill="BFBFBF"/>
          </w:tcPr>
          <w:p w14:paraId="77A48F7B"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Outcome Quality and Alignment</w:t>
            </w:r>
          </w:p>
        </w:tc>
      </w:tr>
      <w:tr w:rsidR="0041126D" w:rsidRPr="004D40EA" w14:paraId="1AEFF2BD" w14:textId="77777777">
        <w:tc>
          <w:tcPr>
            <w:tcW w:w="468" w:type="dxa"/>
            <w:shd w:val="clear" w:color="auto" w:fill="auto"/>
          </w:tcPr>
          <w:p w14:paraId="3B4B3A87"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11</w:t>
            </w:r>
          </w:p>
        </w:tc>
        <w:tc>
          <w:tcPr>
            <w:tcW w:w="5760" w:type="dxa"/>
            <w:shd w:val="clear" w:color="auto" w:fill="auto"/>
          </w:tcPr>
          <w:p w14:paraId="5011204A"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Outcomes are logically aligned with the outputs.</w:t>
            </w:r>
          </w:p>
        </w:tc>
        <w:tc>
          <w:tcPr>
            <w:tcW w:w="1170" w:type="dxa"/>
            <w:shd w:val="clear" w:color="auto" w:fill="auto"/>
          </w:tcPr>
          <w:p w14:paraId="3C10892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616A87F0"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4EEDFC2C"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648F276C" w14:textId="77777777">
        <w:tc>
          <w:tcPr>
            <w:tcW w:w="468" w:type="dxa"/>
            <w:shd w:val="clear" w:color="auto" w:fill="auto"/>
          </w:tcPr>
          <w:p w14:paraId="023FEC7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12</w:t>
            </w:r>
          </w:p>
        </w:tc>
        <w:tc>
          <w:tcPr>
            <w:tcW w:w="5760" w:type="dxa"/>
            <w:shd w:val="clear" w:color="auto" w:fill="auto"/>
          </w:tcPr>
          <w:p w14:paraId="695F66B9"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 xml:space="preserve">Outcomes reflect a meaningful change in knowledge, attitude, </w:t>
            </w:r>
            <w:proofErr w:type="gramStart"/>
            <w:r w:rsidRPr="004D40EA">
              <w:rPr>
                <w:rFonts w:ascii="Avenir Next LT Pro" w:hAnsi="Avenir Next LT Pro"/>
                <w:color w:val="000000"/>
                <w:sz w:val="20"/>
                <w:szCs w:val="20"/>
              </w:rPr>
              <w:t>behavior</w:t>
            </w:r>
            <w:proofErr w:type="gramEnd"/>
            <w:r w:rsidRPr="004D40EA">
              <w:rPr>
                <w:rFonts w:ascii="Avenir Next LT Pro" w:hAnsi="Avenir Next LT Pro"/>
                <w:color w:val="000000"/>
                <w:sz w:val="20"/>
                <w:szCs w:val="20"/>
              </w:rPr>
              <w:t xml:space="preserve"> or condition for program beneficiaries. </w:t>
            </w:r>
            <w:r w:rsidRPr="004D40EA">
              <w:rPr>
                <w:rFonts w:ascii="Avenir Next LT Pro" w:hAnsi="Avenir Next LT Pro"/>
                <w:i/>
                <w:iCs/>
                <w:color w:val="000000"/>
                <w:sz w:val="20"/>
                <w:szCs w:val="20"/>
              </w:rPr>
              <w:t>(Note: completion of a program would be considered an output, not an outcome.)</w:t>
            </w:r>
          </w:p>
        </w:tc>
        <w:tc>
          <w:tcPr>
            <w:tcW w:w="1170" w:type="dxa"/>
            <w:shd w:val="clear" w:color="auto" w:fill="auto"/>
          </w:tcPr>
          <w:p w14:paraId="0BF4AAB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4446015A"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4CAEAF7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6DDDB4CB" w14:textId="77777777">
        <w:tc>
          <w:tcPr>
            <w:tcW w:w="468" w:type="dxa"/>
            <w:shd w:val="clear" w:color="auto" w:fill="auto"/>
          </w:tcPr>
          <w:p w14:paraId="62E8525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13</w:t>
            </w:r>
          </w:p>
        </w:tc>
        <w:tc>
          <w:tcPr>
            <w:tcW w:w="5760" w:type="dxa"/>
            <w:shd w:val="clear" w:color="auto" w:fill="auto"/>
          </w:tcPr>
          <w:p w14:paraId="05ABDA55"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Outcomes can be measured during a single grant year.</w:t>
            </w:r>
          </w:p>
        </w:tc>
        <w:tc>
          <w:tcPr>
            <w:tcW w:w="1170" w:type="dxa"/>
            <w:shd w:val="clear" w:color="auto" w:fill="auto"/>
          </w:tcPr>
          <w:p w14:paraId="2CE3929F"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317CA9E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168E584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284B34FA" w14:textId="77777777">
        <w:tc>
          <w:tcPr>
            <w:tcW w:w="9738" w:type="dxa"/>
            <w:gridSpan w:val="5"/>
            <w:shd w:val="clear" w:color="auto" w:fill="BFBFBF"/>
          </w:tcPr>
          <w:p w14:paraId="6D6DCC80"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Targets</w:t>
            </w:r>
          </w:p>
        </w:tc>
      </w:tr>
      <w:tr w:rsidR="0041126D" w:rsidRPr="004D40EA" w14:paraId="624829F0" w14:textId="77777777">
        <w:tc>
          <w:tcPr>
            <w:tcW w:w="468" w:type="dxa"/>
            <w:shd w:val="clear" w:color="auto" w:fill="auto"/>
          </w:tcPr>
          <w:p w14:paraId="683C12A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14</w:t>
            </w:r>
          </w:p>
        </w:tc>
        <w:tc>
          <w:tcPr>
            <w:tcW w:w="5760" w:type="dxa"/>
            <w:shd w:val="clear" w:color="auto" w:fill="auto"/>
          </w:tcPr>
          <w:p w14:paraId="63A403C7"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Output and outcome targets are reasonable for the proposed program design.</w:t>
            </w:r>
          </w:p>
        </w:tc>
        <w:tc>
          <w:tcPr>
            <w:tcW w:w="1170" w:type="dxa"/>
            <w:shd w:val="clear" w:color="auto" w:fill="auto"/>
          </w:tcPr>
          <w:p w14:paraId="2631E03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62730ED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730D5A2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075EB4BE" w14:textId="77777777">
        <w:tc>
          <w:tcPr>
            <w:tcW w:w="468" w:type="dxa"/>
            <w:shd w:val="clear" w:color="auto" w:fill="auto"/>
          </w:tcPr>
          <w:p w14:paraId="057DB6A1"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lastRenderedPageBreak/>
              <w:t>15</w:t>
            </w:r>
          </w:p>
        </w:tc>
        <w:tc>
          <w:tcPr>
            <w:tcW w:w="5760" w:type="dxa"/>
            <w:shd w:val="clear" w:color="auto" w:fill="auto"/>
          </w:tcPr>
          <w:p w14:paraId="42D3FB2E"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Targets are expressed as numbers, not percentages.</w:t>
            </w:r>
          </w:p>
        </w:tc>
        <w:tc>
          <w:tcPr>
            <w:tcW w:w="1170" w:type="dxa"/>
            <w:shd w:val="clear" w:color="auto" w:fill="auto"/>
          </w:tcPr>
          <w:p w14:paraId="5957F27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1DFEC35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5199765D"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1369AC5E" w14:textId="77777777">
        <w:tc>
          <w:tcPr>
            <w:tcW w:w="9738" w:type="dxa"/>
            <w:gridSpan w:val="5"/>
            <w:shd w:val="clear" w:color="auto" w:fill="BFBFBF"/>
          </w:tcPr>
          <w:p w14:paraId="5748802A"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Performance Measure Instructions</w:t>
            </w:r>
          </w:p>
        </w:tc>
      </w:tr>
      <w:tr w:rsidR="0041126D" w:rsidRPr="004D40EA" w14:paraId="3C2246AB" w14:textId="77777777">
        <w:tc>
          <w:tcPr>
            <w:tcW w:w="468" w:type="dxa"/>
            <w:shd w:val="clear" w:color="auto" w:fill="auto"/>
          </w:tcPr>
          <w:p w14:paraId="58065535"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16</w:t>
            </w:r>
          </w:p>
        </w:tc>
        <w:tc>
          <w:tcPr>
            <w:tcW w:w="5760" w:type="dxa"/>
            <w:shd w:val="clear" w:color="auto" w:fill="auto"/>
          </w:tcPr>
          <w:p w14:paraId="05FFC1E7"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National Performance Measures conform to selection rules, definitions, and data collection requirements specified in the Performance Measure Instructions.</w:t>
            </w:r>
          </w:p>
        </w:tc>
        <w:tc>
          <w:tcPr>
            <w:tcW w:w="1170" w:type="dxa"/>
            <w:shd w:val="clear" w:color="auto" w:fill="auto"/>
          </w:tcPr>
          <w:p w14:paraId="3FBE60C2"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0592C1E8"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6A258312"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56C31F3A" w14:textId="77777777">
        <w:tc>
          <w:tcPr>
            <w:tcW w:w="468" w:type="dxa"/>
            <w:shd w:val="clear" w:color="auto" w:fill="auto"/>
          </w:tcPr>
          <w:p w14:paraId="09FDF500"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17</w:t>
            </w:r>
          </w:p>
        </w:tc>
        <w:tc>
          <w:tcPr>
            <w:tcW w:w="5760" w:type="dxa"/>
            <w:shd w:val="clear" w:color="auto" w:fill="auto"/>
          </w:tcPr>
          <w:p w14:paraId="6EACC389"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The application does not include any retired National Performance Measures (e.g., measures that do not appear in the Performance Measure Instructions).</w:t>
            </w:r>
          </w:p>
        </w:tc>
        <w:tc>
          <w:tcPr>
            <w:tcW w:w="1170" w:type="dxa"/>
            <w:shd w:val="clear" w:color="auto" w:fill="auto"/>
          </w:tcPr>
          <w:p w14:paraId="74D643FF"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5AFB76C3"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7C07EAA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75F38E84" w14:textId="77777777">
        <w:tc>
          <w:tcPr>
            <w:tcW w:w="9738" w:type="dxa"/>
            <w:gridSpan w:val="5"/>
            <w:shd w:val="clear" w:color="auto" w:fill="BFBFBF"/>
          </w:tcPr>
          <w:p w14:paraId="1691E464"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Data Collection/Instruments</w:t>
            </w:r>
          </w:p>
        </w:tc>
      </w:tr>
      <w:tr w:rsidR="0041126D" w:rsidRPr="004D40EA" w14:paraId="74F074D1" w14:textId="77777777">
        <w:tc>
          <w:tcPr>
            <w:tcW w:w="468" w:type="dxa"/>
            <w:shd w:val="clear" w:color="auto" w:fill="auto"/>
          </w:tcPr>
          <w:p w14:paraId="1BAF5504"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18</w:t>
            </w:r>
          </w:p>
        </w:tc>
        <w:tc>
          <w:tcPr>
            <w:tcW w:w="5760" w:type="dxa"/>
            <w:shd w:val="clear" w:color="auto" w:fill="auto"/>
          </w:tcPr>
          <w:p w14:paraId="305D460F"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Data collection methods are appropriate for the output/outcome being measured.</w:t>
            </w:r>
          </w:p>
        </w:tc>
        <w:tc>
          <w:tcPr>
            <w:tcW w:w="1170" w:type="dxa"/>
            <w:shd w:val="clear" w:color="auto" w:fill="auto"/>
          </w:tcPr>
          <w:p w14:paraId="05556B7E"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39098389"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3D07F28A"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r w:rsidR="0041126D" w:rsidRPr="004D40EA" w14:paraId="6EFD9638" w14:textId="77777777">
        <w:tc>
          <w:tcPr>
            <w:tcW w:w="9738" w:type="dxa"/>
            <w:gridSpan w:val="5"/>
            <w:shd w:val="clear" w:color="auto" w:fill="BFBFBF"/>
          </w:tcPr>
          <w:p w14:paraId="47BE6A37" w14:textId="77777777" w:rsidR="0041126D" w:rsidRPr="004D40EA" w:rsidRDefault="0041126D">
            <w:pPr>
              <w:autoSpaceDE w:val="0"/>
              <w:autoSpaceDN w:val="0"/>
              <w:adjustRightInd w:val="0"/>
              <w:spacing w:after="0" w:line="240" w:lineRule="auto"/>
              <w:contextualSpacing/>
              <w:rPr>
                <w:rFonts w:ascii="Avenir Next LT Pro" w:hAnsi="Avenir Next LT Pro"/>
                <w:b/>
                <w:bCs/>
                <w:sz w:val="20"/>
                <w:szCs w:val="20"/>
              </w:rPr>
            </w:pPr>
            <w:r w:rsidRPr="004D40EA">
              <w:rPr>
                <w:rFonts w:ascii="Avenir Next LT Pro" w:hAnsi="Avenir Next LT Pro"/>
                <w:b/>
                <w:bCs/>
                <w:sz w:val="20"/>
                <w:szCs w:val="20"/>
              </w:rPr>
              <w:t>Sampling (if applicable)</w:t>
            </w:r>
          </w:p>
        </w:tc>
      </w:tr>
      <w:tr w:rsidR="0041126D" w:rsidRPr="004D40EA" w14:paraId="4B095514" w14:textId="77777777">
        <w:tc>
          <w:tcPr>
            <w:tcW w:w="468" w:type="dxa"/>
            <w:shd w:val="clear" w:color="auto" w:fill="auto"/>
          </w:tcPr>
          <w:p w14:paraId="1178E52C"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r w:rsidRPr="004D40EA">
              <w:rPr>
                <w:rFonts w:ascii="Avenir Next LT Pro" w:hAnsi="Avenir Next LT Pro"/>
                <w:bCs/>
                <w:sz w:val="20"/>
                <w:szCs w:val="20"/>
              </w:rPr>
              <w:t>19</w:t>
            </w:r>
          </w:p>
        </w:tc>
        <w:tc>
          <w:tcPr>
            <w:tcW w:w="5760" w:type="dxa"/>
            <w:shd w:val="clear" w:color="auto" w:fill="auto"/>
          </w:tcPr>
          <w:p w14:paraId="65FC8227" w14:textId="77777777" w:rsidR="0041126D" w:rsidRPr="004D40EA" w:rsidRDefault="0041126D">
            <w:pPr>
              <w:spacing w:after="0" w:line="240" w:lineRule="auto"/>
              <w:rPr>
                <w:rFonts w:ascii="Avenir Next LT Pro" w:eastAsia="Times New Roman" w:hAnsi="Avenir Next LT Pro"/>
                <w:color w:val="000000"/>
                <w:sz w:val="20"/>
                <w:szCs w:val="20"/>
              </w:rPr>
            </w:pPr>
            <w:r w:rsidRPr="004D40EA">
              <w:rPr>
                <w:rFonts w:ascii="Avenir Next LT Pro" w:hAnsi="Avenir Next LT Pro"/>
                <w:color w:val="000000"/>
                <w:sz w:val="20"/>
                <w:szCs w:val="20"/>
              </w:rPr>
              <w:t>If sampling is proposed, the sampling plan is forwarded to AmeriCorps for consideration.  (Note: Formula grantees are not permitted to sample.)</w:t>
            </w:r>
          </w:p>
        </w:tc>
        <w:tc>
          <w:tcPr>
            <w:tcW w:w="1170" w:type="dxa"/>
            <w:shd w:val="clear" w:color="auto" w:fill="auto"/>
          </w:tcPr>
          <w:p w14:paraId="231A02B6"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37E6D337"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c>
          <w:tcPr>
            <w:tcW w:w="1170" w:type="dxa"/>
            <w:shd w:val="clear" w:color="auto" w:fill="auto"/>
          </w:tcPr>
          <w:p w14:paraId="2D41A951" w14:textId="77777777" w:rsidR="0041126D" w:rsidRPr="004D40EA" w:rsidRDefault="0041126D">
            <w:pPr>
              <w:autoSpaceDE w:val="0"/>
              <w:autoSpaceDN w:val="0"/>
              <w:adjustRightInd w:val="0"/>
              <w:spacing w:after="0" w:line="240" w:lineRule="auto"/>
              <w:contextualSpacing/>
              <w:rPr>
                <w:rFonts w:ascii="Avenir Next LT Pro" w:hAnsi="Avenir Next LT Pro"/>
                <w:bCs/>
                <w:sz w:val="20"/>
                <w:szCs w:val="20"/>
              </w:rPr>
            </w:pPr>
          </w:p>
        </w:tc>
      </w:tr>
    </w:tbl>
    <w:p w14:paraId="4011B323"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p>
    <w:p w14:paraId="02121B83"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p>
    <w:p w14:paraId="0BB6233F" w14:textId="77777777" w:rsidR="0041126D" w:rsidRPr="004D40EA" w:rsidRDefault="0041126D" w:rsidP="0041126D">
      <w:pPr>
        <w:autoSpaceDE w:val="0"/>
        <w:autoSpaceDN w:val="0"/>
        <w:adjustRightInd w:val="0"/>
        <w:spacing w:after="0" w:line="240" w:lineRule="auto"/>
        <w:contextualSpacing/>
        <w:rPr>
          <w:rFonts w:ascii="Avenir Next LT Pro" w:hAnsi="Avenir Next LT Pro"/>
          <w:bCs/>
          <w:sz w:val="20"/>
          <w:szCs w:val="20"/>
        </w:rPr>
      </w:pPr>
    </w:p>
    <w:p w14:paraId="6572D345" w14:textId="77777777" w:rsidR="0041126D" w:rsidRPr="004D40EA" w:rsidRDefault="0041126D" w:rsidP="0041126D">
      <w:pPr>
        <w:autoSpaceDE w:val="0"/>
        <w:autoSpaceDN w:val="0"/>
        <w:adjustRightInd w:val="0"/>
        <w:spacing w:after="0" w:line="240" w:lineRule="auto"/>
        <w:contextualSpacing/>
        <w:rPr>
          <w:rFonts w:ascii="Avenir Next LT Pro" w:hAnsi="Avenir Next LT Pro"/>
          <w:b/>
          <w:bCs/>
          <w:sz w:val="20"/>
          <w:szCs w:val="20"/>
        </w:rPr>
      </w:pPr>
    </w:p>
    <w:p w14:paraId="011FF56C" w14:textId="77777777" w:rsidR="0041126D" w:rsidRPr="004D40EA" w:rsidRDefault="0041126D" w:rsidP="0041126D">
      <w:pPr>
        <w:autoSpaceDE w:val="0"/>
        <w:autoSpaceDN w:val="0"/>
        <w:adjustRightInd w:val="0"/>
        <w:spacing w:after="0" w:line="240" w:lineRule="auto"/>
        <w:contextualSpacing/>
        <w:rPr>
          <w:rFonts w:ascii="Avenir Next LT Pro" w:hAnsi="Avenir Next LT Pro"/>
          <w:b/>
          <w:bCs/>
          <w:sz w:val="20"/>
          <w:szCs w:val="20"/>
        </w:rPr>
      </w:pPr>
    </w:p>
    <w:p w14:paraId="4216E1FD" w14:textId="77777777" w:rsidR="0041126D" w:rsidRPr="004D40EA" w:rsidRDefault="0041126D" w:rsidP="0041126D">
      <w:pPr>
        <w:pStyle w:val="Style1"/>
        <w:outlineLvl w:val="0"/>
        <w:rPr>
          <w:rFonts w:ascii="Avenir Next LT Pro" w:hAnsi="Avenir Next LT Pro"/>
        </w:rPr>
      </w:pPr>
      <w:r w:rsidRPr="004D40EA">
        <w:rPr>
          <w:rFonts w:ascii="Avenir Next LT Pro" w:hAnsi="Avenir Next LT Pro"/>
          <w:bCs/>
        </w:rPr>
        <w:br w:type="page"/>
      </w:r>
      <w:bookmarkStart w:id="43" w:name="AppendixC"/>
      <w:bookmarkStart w:id="44" w:name="_Toc518377559"/>
      <w:r w:rsidRPr="004D40EA">
        <w:rPr>
          <w:rFonts w:ascii="Avenir Next LT Pro" w:hAnsi="Avenir Next LT Pro"/>
        </w:rPr>
        <w:lastRenderedPageBreak/>
        <w:t>Appendix C: Frequently Asked Questions</w:t>
      </w:r>
      <w:bookmarkEnd w:id="43"/>
      <w:bookmarkEnd w:id="44"/>
    </w:p>
    <w:p w14:paraId="02E871C5" w14:textId="77777777" w:rsidR="0041126D" w:rsidRPr="004D40EA" w:rsidRDefault="0041126D" w:rsidP="0041126D">
      <w:pPr>
        <w:spacing w:after="0" w:line="240" w:lineRule="auto"/>
        <w:contextualSpacing/>
        <w:rPr>
          <w:rFonts w:ascii="Avenir Next LT Pro" w:hAnsi="Avenir Next LT Pro"/>
          <w:sz w:val="20"/>
          <w:szCs w:val="20"/>
        </w:rPr>
      </w:pPr>
      <w:r w:rsidRPr="004D40EA">
        <w:rPr>
          <w:rFonts w:ascii="Avenir Next LT Pro" w:hAnsi="Avenir Next LT Pro"/>
          <w:sz w:val="20"/>
          <w:szCs w:val="20"/>
        </w:rPr>
        <w:tab/>
        <w:t xml:space="preserve"> </w:t>
      </w:r>
    </w:p>
    <w:p w14:paraId="2A613CC1" w14:textId="77777777" w:rsidR="0041126D" w:rsidRPr="009578F2" w:rsidRDefault="0041126D" w:rsidP="0041126D">
      <w:pPr>
        <w:pStyle w:val="ListParagraph"/>
        <w:ind w:left="0"/>
        <w:contextualSpacing/>
        <w:rPr>
          <w:rFonts w:ascii="Avenir Next LT Pro" w:hAnsi="Avenir Next LT Pro"/>
          <w:sz w:val="20"/>
          <w:szCs w:val="20"/>
        </w:rPr>
      </w:pPr>
    </w:p>
    <w:p w14:paraId="6F6475B4" w14:textId="77777777" w:rsidR="0041126D" w:rsidRPr="009578F2" w:rsidRDefault="0041126D" w:rsidP="0041126D">
      <w:pPr>
        <w:numPr>
          <w:ilvl w:val="0"/>
          <w:numId w:val="2"/>
        </w:numPr>
        <w:spacing w:after="0" w:line="240" w:lineRule="auto"/>
        <w:contextualSpacing/>
        <w:rPr>
          <w:rFonts w:ascii="Avenir Next LT Pro" w:hAnsi="Avenir Next LT Pro"/>
          <w:b/>
          <w:i/>
          <w:sz w:val="20"/>
          <w:szCs w:val="20"/>
        </w:rPr>
      </w:pPr>
      <w:r w:rsidRPr="009578F2">
        <w:rPr>
          <w:rFonts w:ascii="Avenir Next LT Pro" w:hAnsi="Avenir Next LT Pro"/>
          <w:b/>
          <w:i/>
          <w:sz w:val="20"/>
          <w:szCs w:val="20"/>
        </w:rPr>
        <w:t>What should a continuation applicant do if one or more of their National Performance Measures is no longer present in the Performance Measure Instructions?</w:t>
      </w:r>
    </w:p>
    <w:p w14:paraId="7C047711" w14:textId="77777777" w:rsidR="0041126D" w:rsidRPr="009578F2" w:rsidRDefault="0041126D" w:rsidP="0041126D">
      <w:pPr>
        <w:spacing w:after="0" w:line="240" w:lineRule="auto"/>
        <w:contextualSpacing/>
        <w:rPr>
          <w:rFonts w:ascii="Avenir Next LT Pro" w:hAnsi="Avenir Next LT Pro"/>
          <w:b/>
          <w:i/>
          <w:sz w:val="20"/>
          <w:szCs w:val="20"/>
        </w:rPr>
      </w:pPr>
    </w:p>
    <w:p w14:paraId="5258D0F8"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All applicants, including continuation applicants, must follow the National Performance Measure selection rules specified in the current Performance Measure Instructions.  Applicants must revise their performance measures as needed to conform to the updated instructions.</w:t>
      </w:r>
    </w:p>
    <w:p w14:paraId="3455956F" w14:textId="77777777" w:rsidR="0041126D" w:rsidRPr="009578F2" w:rsidRDefault="0041126D" w:rsidP="0041126D">
      <w:pPr>
        <w:spacing w:after="0" w:line="240" w:lineRule="auto"/>
        <w:contextualSpacing/>
        <w:rPr>
          <w:rFonts w:ascii="Avenir Next LT Pro" w:hAnsi="Avenir Next LT Pro"/>
          <w:sz w:val="20"/>
          <w:szCs w:val="20"/>
        </w:rPr>
      </w:pPr>
    </w:p>
    <w:p w14:paraId="525286E9" w14:textId="77777777" w:rsidR="0041126D" w:rsidRPr="009578F2" w:rsidRDefault="0041126D" w:rsidP="0041126D">
      <w:pPr>
        <w:numPr>
          <w:ilvl w:val="0"/>
          <w:numId w:val="2"/>
        </w:numPr>
        <w:spacing w:after="0" w:line="240" w:lineRule="auto"/>
        <w:contextualSpacing/>
        <w:rPr>
          <w:rFonts w:ascii="Avenir Next LT Pro" w:hAnsi="Avenir Next LT Pro"/>
          <w:b/>
          <w:i/>
          <w:sz w:val="20"/>
          <w:szCs w:val="20"/>
        </w:rPr>
      </w:pPr>
      <w:r w:rsidRPr="009578F2">
        <w:rPr>
          <w:rFonts w:ascii="Avenir Next LT Pro" w:hAnsi="Avenir Next LT Pro"/>
          <w:b/>
          <w:i/>
          <w:sz w:val="20"/>
          <w:szCs w:val="20"/>
        </w:rPr>
        <w:t xml:space="preserve">What should a continuation grantee who is measuring a National Performance Measure output or outcome that has a changed definition do in the continuation application? </w:t>
      </w:r>
      <w:r w:rsidRPr="009578F2">
        <w:rPr>
          <w:rFonts w:ascii="Avenir Next LT Pro" w:hAnsi="Avenir Next LT Pro"/>
          <w:b/>
          <w:i/>
          <w:sz w:val="20"/>
          <w:szCs w:val="20"/>
        </w:rPr>
        <w:tab/>
      </w:r>
    </w:p>
    <w:p w14:paraId="430E6C57" w14:textId="77777777" w:rsidR="0041126D" w:rsidRPr="009578F2" w:rsidRDefault="0041126D" w:rsidP="0041126D">
      <w:pPr>
        <w:spacing w:after="0" w:line="240" w:lineRule="auto"/>
        <w:contextualSpacing/>
        <w:rPr>
          <w:rFonts w:ascii="Avenir Next LT Pro" w:hAnsi="Avenir Next LT Pro"/>
          <w:b/>
          <w:i/>
          <w:sz w:val="20"/>
          <w:szCs w:val="20"/>
        </w:rPr>
      </w:pPr>
    </w:p>
    <w:p w14:paraId="1B5F1B53"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If the grantee is unable to measure the output or outcome as defined in the current Performance Measure Instructions, the grantee should choose a different performance measure.    </w:t>
      </w:r>
    </w:p>
    <w:p w14:paraId="2AA81133" w14:textId="77777777" w:rsidR="0041126D" w:rsidRPr="009578F2" w:rsidRDefault="0041126D" w:rsidP="0041126D">
      <w:pPr>
        <w:spacing w:after="0" w:line="240" w:lineRule="auto"/>
        <w:contextualSpacing/>
        <w:rPr>
          <w:rFonts w:ascii="Avenir Next LT Pro" w:hAnsi="Avenir Next LT Pro"/>
          <w:sz w:val="20"/>
          <w:szCs w:val="20"/>
        </w:rPr>
      </w:pPr>
    </w:p>
    <w:p w14:paraId="0CA8A766"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What are National Performance Measures? </w:t>
      </w:r>
      <w:r w:rsidRPr="009578F2">
        <w:rPr>
          <w:rFonts w:ascii="Avenir Next LT Pro" w:hAnsi="Avenir Next LT Pro"/>
          <w:b/>
          <w:i/>
          <w:sz w:val="20"/>
          <w:szCs w:val="20"/>
        </w:rPr>
        <w:tab/>
      </w:r>
    </w:p>
    <w:p w14:paraId="3D2AADAD" w14:textId="77777777" w:rsidR="0041126D" w:rsidRPr="009578F2" w:rsidRDefault="0041126D" w:rsidP="0041126D">
      <w:pPr>
        <w:pStyle w:val="ListParagraph"/>
        <w:ind w:left="0"/>
        <w:contextualSpacing/>
        <w:rPr>
          <w:rFonts w:ascii="Avenir Next LT Pro" w:hAnsi="Avenir Next LT Pro"/>
          <w:b/>
          <w:i/>
          <w:sz w:val="20"/>
          <w:szCs w:val="20"/>
        </w:rPr>
      </w:pPr>
    </w:p>
    <w:p w14:paraId="2955937A"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AmeriCorps has established six Focus Areas: Disaster Services, Economic Opportunity, Education, Environmental Stewardship, Healthy Futures, and Veterans and Military Families based on the priorities included in the Serve America Act. Within these Focus Areas, as well as for Capacity Building, AmeriCorps has created National Performance Measures in order to aggregate the results of similar programs and demonstrate the impact across our agency programs and initiatives. </w:t>
      </w:r>
    </w:p>
    <w:p w14:paraId="530769B0" w14:textId="77777777" w:rsidR="0041126D" w:rsidRPr="009578F2" w:rsidRDefault="0041126D" w:rsidP="0041126D">
      <w:pPr>
        <w:spacing w:after="0" w:line="240" w:lineRule="auto"/>
        <w:contextualSpacing/>
        <w:rPr>
          <w:rFonts w:ascii="Avenir Next LT Pro" w:hAnsi="Avenir Next LT Pro"/>
          <w:sz w:val="20"/>
          <w:szCs w:val="20"/>
        </w:rPr>
      </w:pPr>
    </w:p>
    <w:p w14:paraId="5E6E71E2" w14:textId="77777777" w:rsidR="0041126D" w:rsidRPr="009578F2" w:rsidRDefault="0041126D" w:rsidP="0041126D">
      <w:pPr>
        <w:numPr>
          <w:ilvl w:val="0"/>
          <w:numId w:val="2"/>
        </w:numPr>
        <w:spacing w:after="0" w:line="240" w:lineRule="auto"/>
        <w:contextualSpacing/>
        <w:rPr>
          <w:rFonts w:ascii="Avenir Next LT Pro" w:hAnsi="Avenir Next LT Pro"/>
          <w:b/>
          <w:i/>
          <w:sz w:val="20"/>
          <w:szCs w:val="20"/>
        </w:rPr>
      </w:pPr>
      <w:r w:rsidRPr="009578F2">
        <w:rPr>
          <w:rFonts w:ascii="Avenir Next LT Pro" w:hAnsi="Avenir Next LT Pro"/>
          <w:b/>
          <w:i/>
          <w:sz w:val="20"/>
          <w:szCs w:val="20"/>
        </w:rPr>
        <w:t xml:space="preserve">What is an aligned performance measure? </w:t>
      </w:r>
      <w:r w:rsidRPr="009578F2">
        <w:rPr>
          <w:rFonts w:ascii="Avenir Next LT Pro" w:hAnsi="Avenir Next LT Pro"/>
          <w:b/>
          <w:i/>
          <w:sz w:val="20"/>
          <w:szCs w:val="20"/>
        </w:rPr>
        <w:tab/>
      </w:r>
    </w:p>
    <w:p w14:paraId="4E13C8FC" w14:textId="77777777" w:rsidR="0041126D" w:rsidRPr="009578F2" w:rsidRDefault="0041126D" w:rsidP="0041126D">
      <w:pPr>
        <w:spacing w:after="0" w:line="240" w:lineRule="auto"/>
        <w:contextualSpacing/>
        <w:rPr>
          <w:rFonts w:ascii="Avenir Next LT Pro" w:hAnsi="Avenir Next LT Pro"/>
          <w:sz w:val="20"/>
          <w:szCs w:val="20"/>
        </w:rPr>
      </w:pPr>
    </w:p>
    <w:p w14:paraId="68125C3D"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An aligned performance measure is an output paired with an outcome. The paired output-outcome measures may be National Performance Measures, applicant-determined measures, or the combination of a National Performance Measure output and an applicant-determined outcome.  Applicant-determined outputs cannot be paired with National Performance Measure outcomes in an aligned performance measure.</w:t>
      </w:r>
    </w:p>
    <w:p w14:paraId="23697132" w14:textId="77777777" w:rsidR="0041126D" w:rsidRPr="009578F2" w:rsidRDefault="0041126D" w:rsidP="0041126D">
      <w:pPr>
        <w:pStyle w:val="ListParagraph"/>
        <w:ind w:left="0"/>
        <w:contextualSpacing/>
        <w:rPr>
          <w:rFonts w:ascii="Avenir Next LT Pro" w:hAnsi="Avenir Next LT Pro"/>
          <w:b/>
          <w:i/>
          <w:sz w:val="20"/>
          <w:szCs w:val="20"/>
        </w:rPr>
      </w:pPr>
    </w:p>
    <w:p w14:paraId="1F284742"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What is an applicant-determined performance measure? </w:t>
      </w:r>
      <w:r w:rsidRPr="009578F2">
        <w:rPr>
          <w:rFonts w:ascii="Avenir Next LT Pro" w:hAnsi="Avenir Next LT Pro"/>
          <w:b/>
          <w:i/>
          <w:sz w:val="20"/>
          <w:szCs w:val="20"/>
        </w:rPr>
        <w:tab/>
      </w:r>
    </w:p>
    <w:p w14:paraId="67427C60" w14:textId="77777777" w:rsidR="0041126D" w:rsidRPr="009578F2" w:rsidRDefault="0041126D" w:rsidP="0041126D">
      <w:pPr>
        <w:pStyle w:val="ListParagraph"/>
        <w:ind w:left="0"/>
        <w:contextualSpacing/>
        <w:rPr>
          <w:rFonts w:ascii="Avenir Next LT Pro" w:hAnsi="Avenir Next LT Pro"/>
          <w:b/>
          <w:i/>
          <w:sz w:val="20"/>
          <w:szCs w:val="20"/>
        </w:rPr>
      </w:pPr>
    </w:p>
    <w:p w14:paraId="7CAA6110" w14:textId="77777777" w:rsidR="0041126D" w:rsidRPr="009578F2" w:rsidRDefault="0041126D" w:rsidP="0041126D">
      <w:pPr>
        <w:spacing w:after="0" w:line="240" w:lineRule="auto"/>
        <w:contextualSpacing/>
        <w:rPr>
          <w:rFonts w:ascii="Avenir Next LT Pro" w:hAnsi="Avenir Next LT Pro"/>
          <w:i/>
          <w:sz w:val="20"/>
          <w:szCs w:val="20"/>
        </w:rPr>
      </w:pPr>
      <w:r w:rsidRPr="009578F2">
        <w:rPr>
          <w:rFonts w:ascii="Avenir Next LT Pro" w:hAnsi="Avenir Next LT Pro"/>
          <w:sz w:val="20"/>
          <w:szCs w:val="20"/>
        </w:rPr>
        <w:t xml:space="preserve">An applicant-determined performance measure is one in which the applicant creates the language for the outputs and/or outcomes that will be measured. This is different from the National Performance Measures, where AmeriCorps pre-determines common outputs and outcomes that are available for applicants to use. </w:t>
      </w:r>
    </w:p>
    <w:p w14:paraId="2F5A9C1F" w14:textId="77777777" w:rsidR="0041126D" w:rsidRPr="009578F2" w:rsidRDefault="0041126D" w:rsidP="0041126D">
      <w:pPr>
        <w:spacing w:after="0" w:line="240" w:lineRule="auto"/>
        <w:contextualSpacing/>
        <w:rPr>
          <w:rFonts w:ascii="Avenir Next LT Pro" w:hAnsi="Avenir Next LT Pro"/>
          <w:sz w:val="20"/>
          <w:szCs w:val="20"/>
        </w:rPr>
      </w:pPr>
    </w:p>
    <w:p w14:paraId="42242E19"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What is an output-only performance measure?</w:t>
      </w:r>
    </w:p>
    <w:p w14:paraId="010950F3" w14:textId="77777777" w:rsidR="0041126D" w:rsidRPr="009578F2" w:rsidRDefault="0041126D" w:rsidP="0041126D">
      <w:pPr>
        <w:pStyle w:val="ListParagraph"/>
        <w:ind w:left="0"/>
        <w:contextualSpacing/>
        <w:rPr>
          <w:rFonts w:ascii="Avenir Next LT Pro" w:hAnsi="Avenir Next LT Pro"/>
          <w:b/>
          <w:i/>
          <w:sz w:val="20"/>
          <w:szCs w:val="20"/>
        </w:rPr>
      </w:pPr>
    </w:p>
    <w:p w14:paraId="5D7321EA" w14:textId="77777777" w:rsidR="0041126D" w:rsidRPr="009578F2" w:rsidRDefault="0041126D" w:rsidP="0041126D">
      <w:pPr>
        <w:pStyle w:val="ListParagraph"/>
        <w:ind w:left="0"/>
        <w:contextualSpacing/>
        <w:rPr>
          <w:rFonts w:ascii="Avenir Next LT Pro" w:hAnsi="Avenir Next LT Pro"/>
          <w:sz w:val="20"/>
          <w:szCs w:val="20"/>
        </w:rPr>
      </w:pPr>
      <w:r w:rsidRPr="009578F2">
        <w:rPr>
          <w:rFonts w:ascii="Avenir Next LT Pro" w:hAnsi="Avenir Next LT Pro"/>
          <w:sz w:val="20"/>
          <w:szCs w:val="20"/>
        </w:rPr>
        <w:t xml:space="preserve">An output-only measure is a National Performance Measure output without associated outcome(s).  Applicants may select output-only measures if the output measures a significant program activity.  These do not fulfill the requirement for an aligned performance </w:t>
      </w:r>
      <w:proofErr w:type="gramStart"/>
      <w:r w:rsidRPr="009578F2">
        <w:rPr>
          <w:rFonts w:ascii="Avenir Next LT Pro" w:hAnsi="Avenir Next LT Pro"/>
          <w:sz w:val="20"/>
          <w:szCs w:val="20"/>
        </w:rPr>
        <w:t>measure, but</w:t>
      </w:r>
      <w:proofErr w:type="gramEnd"/>
      <w:r w:rsidRPr="009578F2">
        <w:rPr>
          <w:rFonts w:ascii="Avenir Next LT Pro" w:hAnsi="Avenir Next LT Pro"/>
          <w:sz w:val="20"/>
          <w:szCs w:val="20"/>
        </w:rPr>
        <w:t xml:space="preserve"> may be selected in addition to the aligned measure(s).</w:t>
      </w:r>
    </w:p>
    <w:p w14:paraId="24E8EB39" w14:textId="77777777" w:rsidR="0041126D" w:rsidRPr="009578F2" w:rsidRDefault="0041126D" w:rsidP="0041126D">
      <w:pPr>
        <w:pStyle w:val="ListParagraph"/>
        <w:ind w:left="0"/>
        <w:contextualSpacing/>
        <w:rPr>
          <w:rFonts w:ascii="Avenir Next LT Pro" w:hAnsi="Avenir Next LT Pro"/>
          <w:b/>
          <w:i/>
          <w:sz w:val="20"/>
          <w:szCs w:val="20"/>
        </w:rPr>
      </w:pPr>
    </w:p>
    <w:p w14:paraId="1694A727" w14:textId="77777777" w:rsidR="0041126D" w:rsidRPr="009578F2" w:rsidRDefault="0041126D" w:rsidP="0041126D">
      <w:pPr>
        <w:pStyle w:val="ListParagraph"/>
        <w:numPr>
          <w:ilvl w:val="0"/>
          <w:numId w:val="2"/>
        </w:numPr>
        <w:autoSpaceDE w:val="0"/>
        <w:autoSpaceDN w:val="0"/>
        <w:adjustRightInd w:val="0"/>
        <w:contextualSpacing/>
        <w:rPr>
          <w:rFonts w:ascii="Avenir Next LT Pro" w:hAnsi="Avenir Next LT Pro"/>
          <w:b/>
          <w:color w:val="000000"/>
          <w:sz w:val="20"/>
          <w:szCs w:val="20"/>
        </w:rPr>
      </w:pPr>
      <w:r w:rsidRPr="009578F2">
        <w:rPr>
          <w:rFonts w:ascii="Avenir Next LT Pro" w:hAnsi="Avenir Next LT Pro"/>
          <w:b/>
          <w:i/>
          <w:iCs/>
          <w:color w:val="000000"/>
          <w:sz w:val="20"/>
          <w:szCs w:val="20"/>
        </w:rPr>
        <w:t xml:space="preserve">What is the definition of "National Service Participant"? </w:t>
      </w:r>
    </w:p>
    <w:p w14:paraId="5FDD348B" w14:textId="77777777"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p>
    <w:p w14:paraId="4435AD3C" w14:textId="77777777" w:rsidR="0041126D" w:rsidRPr="009578F2" w:rsidRDefault="0041126D" w:rsidP="0041126D">
      <w:pPr>
        <w:spacing w:after="0" w:line="240" w:lineRule="auto"/>
        <w:contextualSpacing/>
        <w:rPr>
          <w:rFonts w:ascii="Avenir Next LT Pro" w:hAnsi="Avenir Next LT Pro"/>
          <w:color w:val="000000"/>
          <w:sz w:val="20"/>
          <w:szCs w:val="20"/>
        </w:rPr>
      </w:pPr>
      <w:r w:rsidRPr="009578F2">
        <w:rPr>
          <w:rFonts w:ascii="Avenir Next LT Pro" w:hAnsi="Avenir Next LT Pro"/>
          <w:color w:val="000000"/>
          <w:sz w:val="20"/>
          <w:szCs w:val="20"/>
        </w:rPr>
        <w:t xml:space="preserve">For AmeriCorps State and National programs, National Service Participant refers to the AmeriCorps members themselves. </w:t>
      </w:r>
    </w:p>
    <w:p w14:paraId="5A43B07C" w14:textId="77777777" w:rsidR="0041126D" w:rsidRPr="009578F2" w:rsidRDefault="0041126D" w:rsidP="0041126D">
      <w:pPr>
        <w:spacing w:after="0" w:line="240" w:lineRule="auto"/>
        <w:contextualSpacing/>
        <w:rPr>
          <w:rFonts w:ascii="Avenir Next LT Pro" w:hAnsi="Avenir Next LT Pro"/>
          <w:sz w:val="20"/>
          <w:szCs w:val="20"/>
        </w:rPr>
      </w:pPr>
    </w:p>
    <w:p w14:paraId="71D66F25" w14:textId="77777777" w:rsidR="0041126D" w:rsidRPr="009578F2" w:rsidRDefault="0041126D" w:rsidP="0041126D">
      <w:pPr>
        <w:numPr>
          <w:ilvl w:val="0"/>
          <w:numId w:val="2"/>
        </w:numPr>
        <w:spacing w:after="0" w:line="240" w:lineRule="auto"/>
        <w:contextualSpacing/>
        <w:rPr>
          <w:rFonts w:ascii="Avenir Next LT Pro" w:hAnsi="Avenir Next LT Pro"/>
          <w:b/>
          <w:i/>
          <w:sz w:val="20"/>
          <w:szCs w:val="20"/>
        </w:rPr>
      </w:pPr>
      <w:r w:rsidRPr="009578F2">
        <w:rPr>
          <w:rFonts w:ascii="Avenir Next LT Pro" w:hAnsi="Avenir Next LT Pro"/>
          <w:b/>
          <w:i/>
          <w:sz w:val="20"/>
          <w:szCs w:val="20"/>
        </w:rPr>
        <w:t xml:space="preserve">Can I count AmeriCorps members as beneficiaries of service under my performance measures? </w:t>
      </w:r>
      <w:r w:rsidRPr="009578F2">
        <w:rPr>
          <w:rFonts w:ascii="Avenir Next LT Pro" w:hAnsi="Avenir Next LT Pro"/>
          <w:b/>
          <w:i/>
          <w:sz w:val="20"/>
          <w:szCs w:val="20"/>
        </w:rPr>
        <w:tab/>
      </w:r>
    </w:p>
    <w:p w14:paraId="4A72C013" w14:textId="77777777" w:rsidR="0041126D" w:rsidRPr="009578F2" w:rsidRDefault="0041126D" w:rsidP="0041126D">
      <w:pPr>
        <w:spacing w:after="0" w:line="240" w:lineRule="auto"/>
        <w:contextualSpacing/>
        <w:rPr>
          <w:rFonts w:ascii="Avenir Next LT Pro" w:hAnsi="Avenir Next LT Pro"/>
          <w:sz w:val="20"/>
          <w:szCs w:val="20"/>
        </w:rPr>
      </w:pPr>
    </w:p>
    <w:p w14:paraId="2F3F6674"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No.  Effective starting in 2019 for all applicants (new, recompete, and continuation), AmeriCorps members and other National Service Participants may not be counted as beneficiaries under either National Performance Measures or applicant-determined measures.  Some member-focused outputs and outcomes may be reported as Performance Data Elements on annual Progress Reports.</w:t>
      </w:r>
    </w:p>
    <w:p w14:paraId="2E4A49E8" w14:textId="77777777" w:rsidR="0041126D" w:rsidRPr="009578F2" w:rsidRDefault="0041126D" w:rsidP="0041126D">
      <w:pPr>
        <w:spacing w:after="0" w:line="240" w:lineRule="auto"/>
        <w:contextualSpacing/>
        <w:rPr>
          <w:rFonts w:ascii="Avenir Next LT Pro" w:hAnsi="Avenir Next LT Pro"/>
          <w:i/>
          <w:sz w:val="20"/>
          <w:szCs w:val="20"/>
        </w:rPr>
      </w:pPr>
    </w:p>
    <w:p w14:paraId="730213FB"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Do the AmeriCorps members in my program have to be directly providing the service counted in the performance measures? </w:t>
      </w:r>
      <w:r w:rsidRPr="009578F2">
        <w:rPr>
          <w:rFonts w:ascii="Avenir Next LT Pro" w:hAnsi="Avenir Next LT Pro"/>
          <w:b/>
          <w:i/>
          <w:sz w:val="20"/>
          <w:szCs w:val="20"/>
        </w:rPr>
        <w:tab/>
      </w:r>
    </w:p>
    <w:p w14:paraId="31C5880F" w14:textId="77777777" w:rsidR="0041126D" w:rsidRPr="009578F2" w:rsidRDefault="0041126D" w:rsidP="0041126D">
      <w:pPr>
        <w:spacing w:after="0" w:line="240" w:lineRule="auto"/>
        <w:contextualSpacing/>
        <w:rPr>
          <w:rFonts w:ascii="Avenir Next LT Pro" w:hAnsi="Avenir Next LT Pro"/>
          <w:sz w:val="20"/>
          <w:szCs w:val="20"/>
        </w:rPr>
      </w:pPr>
    </w:p>
    <w:p w14:paraId="0201754E"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The activities associated your performance measures must be carried out either by National Service Participants or by volunteers directly recruited and/or supported by National Service Participants.</w:t>
      </w:r>
      <w:r w:rsidRPr="009578F2">
        <w:rPr>
          <w:rFonts w:ascii="Avenir Next LT Pro" w:hAnsi="Avenir Next LT Pro"/>
          <w:sz w:val="20"/>
          <w:szCs w:val="20"/>
        </w:rPr>
        <w:tab/>
        <w:t xml:space="preserve">  </w:t>
      </w:r>
    </w:p>
    <w:p w14:paraId="0CFDDA40" w14:textId="77777777" w:rsidR="0041126D" w:rsidRPr="009578F2" w:rsidRDefault="0041126D" w:rsidP="0041126D">
      <w:pPr>
        <w:spacing w:after="0" w:line="240" w:lineRule="auto"/>
        <w:contextualSpacing/>
        <w:rPr>
          <w:rFonts w:ascii="Avenir Next LT Pro" w:hAnsi="Avenir Next LT Pro"/>
          <w:sz w:val="20"/>
          <w:szCs w:val="20"/>
        </w:rPr>
      </w:pPr>
    </w:p>
    <w:p w14:paraId="01AA837A"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How many performance measures should I propose? </w:t>
      </w:r>
      <w:r w:rsidRPr="009578F2">
        <w:rPr>
          <w:rFonts w:ascii="Avenir Next LT Pro" w:hAnsi="Avenir Next LT Pro"/>
          <w:b/>
          <w:i/>
          <w:sz w:val="20"/>
          <w:szCs w:val="20"/>
        </w:rPr>
        <w:tab/>
      </w:r>
    </w:p>
    <w:p w14:paraId="0582889A" w14:textId="77777777" w:rsidR="0041126D" w:rsidRPr="009578F2" w:rsidRDefault="0041126D" w:rsidP="0041126D">
      <w:pPr>
        <w:spacing w:after="0" w:line="240" w:lineRule="auto"/>
        <w:contextualSpacing/>
        <w:rPr>
          <w:rFonts w:ascii="Avenir Next LT Pro" w:hAnsi="Avenir Next LT Pro"/>
          <w:sz w:val="20"/>
          <w:szCs w:val="20"/>
        </w:rPr>
      </w:pPr>
    </w:p>
    <w:p w14:paraId="7BBF2362"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Each program must have at least one aligned measure (composed of an output and an outcome) reflecting its primary intervention. It is appropriate to have additional performance measures for other significant components of your program, but AmeriCorps values the quality of performance measures more than the quantity. Performance measures reflecting activities that are not central to your program model should not be included in your application and do not need to be reported to AmeriCorps, although you might still collect the data for your own purposes.</w:t>
      </w:r>
      <w:r w:rsidRPr="009578F2">
        <w:rPr>
          <w:rFonts w:ascii="Avenir Next LT Pro" w:hAnsi="Avenir Next LT Pro"/>
          <w:sz w:val="20"/>
          <w:szCs w:val="20"/>
        </w:rPr>
        <w:tab/>
        <w:t xml:space="preserve">  </w:t>
      </w:r>
    </w:p>
    <w:p w14:paraId="6EBD73AC" w14:textId="77777777" w:rsidR="0041126D" w:rsidRPr="009578F2" w:rsidRDefault="0041126D" w:rsidP="0041126D">
      <w:pPr>
        <w:spacing w:after="0" w:line="240" w:lineRule="auto"/>
        <w:ind w:firstLine="1500"/>
        <w:contextualSpacing/>
        <w:rPr>
          <w:rFonts w:ascii="Avenir Next LT Pro" w:hAnsi="Avenir Next LT Pro"/>
          <w:sz w:val="20"/>
          <w:szCs w:val="20"/>
        </w:rPr>
      </w:pPr>
    </w:p>
    <w:p w14:paraId="750B7050"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Can I count the same beneficiaries in more than one performance measure output? </w:t>
      </w:r>
      <w:r w:rsidRPr="009578F2">
        <w:rPr>
          <w:rFonts w:ascii="Avenir Next LT Pro" w:hAnsi="Avenir Next LT Pro"/>
          <w:b/>
          <w:i/>
          <w:sz w:val="20"/>
          <w:szCs w:val="20"/>
        </w:rPr>
        <w:tab/>
      </w:r>
    </w:p>
    <w:p w14:paraId="52E09D61" w14:textId="77777777" w:rsidR="0041126D" w:rsidRPr="009578F2" w:rsidRDefault="0041126D" w:rsidP="0041126D">
      <w:pPr>
        <w:pStyle w:val="ListParagraph"/>
        <w:ind w:left="360"/>
        <w:contextualSpacing/>
        <w:rPr>
          <w:rFonts w:ascii="Avenir Next LT Pro" w:hAnsi="Avenir Next LT Pro"/>
          <w:i/>
          <w:sz w:val="20"/>
          <w:szCs w:val="20"/>
        </w:rPr>
      </w:pPr>
    </w:p>
    <w:p w14:paraId="0E0276DF"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Unless otherwise specified, the same beneficiaries may be counted more than once across different measures for different interventions (services) they may be receiving. For example, if your AmeriCorps members helped one specific individual to both prepare for a disaster and obtain employment, you may count that same individual in both D1A and O1A. However, programs cannot count the same individual more than once within any one specific performance measure.  So, for example, an individual who attended two disaster preparation training workshops during a single program year cannot be counted twice under D1A.   </w:t>
      </w:r>
    </w:p>
    <w:p w14:paraId="0F96FA51" w14:textId="77777777" w:rsidR="0041126D" w:rsidRPr="009578F2" w:rsidRDefault="0041126D" w:rsidP="0041126D">
      <w:pPr>
        <w:spacing w:after="0" w:line="240" w:lineRule="auto"/>
        <w:contextualSpacing/>
        <w:rPr>
          <w:rFonts w:ascii="Avenir Next LT Pro" w:hAnsi="Avenir Next LT Pro"/>
          <w:i/>
          <w:sz w:val="20"/>
          <w:szCs w:val="20"/>
        </w:rPr>
      </w:pPr>
    </w:p>
    <w:p w14:paraId="2E0DBCD5" w14:textId="77777777" w:rsidR="0041126D" w:rsidRPr="009578F2" w:rsidRDefault="0041126D" w:rsidP="0041126D">
      <w:pPr>
        <w:numPr>
          <w:ilvl w:val="0"/>
          <w:numId w:val="2"/>
        </w:numPr>
        <w:autoSpaceDE w:val="0"/>
        <w:autoSpaceDN w:val="0"/>
        <w:spacing w:after="0" w:line="240" w:lineRule="auto"/>
        <w:contextualSpacing/>
        <w:rPr>
          <w:rFonts w:ascii="Avenir Next LT Pro" w:hAnsi="Avenir Next LT Pro"/>
          <w:b/>
          <w:bCs/>
          <w:i/>
          <w:iCs/>
          <w:color w:val="000000"/>
          <w:sz w:val="20"/>
          <w:szCs w:val="20"/>
        </w:rPr>
      </w:pPr>
      <w:r w:rsidRPr="009578F2">
        <w:rPr>
          <w:rFonts w:ascii="Avenir Next LT Pro" w:hAnsi="Avenir Next LT Pro"/>
          <w:b/>
          <w:bCs/>
          <w:i/>
          <w:iCs/>
          <w:color w:val="000000"/>
          <w:sz w:val="20"/>
          <w:szCs w:val="20"/>
        </w:rPr>
        <w:t>Do all beneficiaries counted under a particular performance measure have to receive the same interventions?</w:t>
      </w:r>
    </w:p>
    <w:p w14:paraId="60121530" w14:textId="77777777" w:rsidR="0041126D" w:rsidRPr="009578F2" w:rsidRDefault="0041126D" w:rsidP="0041126D">
      <w:pPr>
        <w:autoSpaceDE w:val="0"/>
        <w:autoSpaceDN w:val="0"/>
        <w:spacing w:after="0" w:line="240" w:lineRule="auto"/>
        <w:rPr>
          <w:rFonts w:ascii="Avenir Next LT Pro" w:hAnsi="Avenir Next LT Pro"/>
          <w:i/>
          <w:iCs/>
          <w:color w:val="000000"/>
          <w:sz w:val="20"/>
          <w:szCs w:val="20"/>
        </w:rPr>
      </w:pPr>
    </w:p>
    <w:p w14:paraId="30C3BC2A" w14:textId="77777777" w:rsidR="0041126D" w:rsidRPr="009578F2" w:rsidRDefault="0041126D" w:rsidP="0041126D">
      <w:pPr>
        <w:spacing w:after="0" w:line="240" w:lineRule="auto"/>
        <w:rPr>
          <w:rFonts w:ascii="Avenir Next LT Pro" w:hAnsi="Avenir Next LT Pro"/>
          <w:color w:val="1F497D"/>
        </w:rPr>
      </w:pPr>
      <w:r w:rsidRPr="009578F2">
        <w:rPr>
          <w:rFonts w:ascii="Avenir Next LT Pro" w:hAnsi="Avenir Next LT Pro"/>
          <w:color w:val="000000"/>
          <w:sz w:val="20"/>
          <w:szCs w:val="20"/>
        </w:rPr>
        <w:t>Yes, the interventions associated with the measure need to be applicable to all of the beneficiaries counted under the measure, even if the details of the intervention (e.g., the exact dosage provided) may vary.  If one set of beneficiaries is receiving one type of intervention (e.g., mentoring) and a different set of beneficiaries is receiving a different type of intervention (e.g., tutoring), the two sets of beneficiaries should be counted in separate performance measures even if the expected outcome is the same.  In contrast, if all beneficiaries are receiving multiple interventions with the same expected outcome (</w:t>
      </w:r>
      <w:proofErr w:type="gramStart"/>
      <w:r w:rsidRPr="009578F2">
        <w:rPr>
          <w:rFonts w:ascii="Avenir Next LT Pro" w:hAnsi="Avenir Next LT Pro"/>
          <w:color w:val="000000"/>
          <w:sz w:val="20"/>
          <w:szCs w:val="20"/>
        </w:rPr>
        <w:t>e.g.</w:t>
      </w:r>
      <w:proofErr w:type="gramEnd"/>
      <w:r w:rsidRPr="009578F2">
        <w:rPr>
          <w:rFonts w:ascii="Avenir Next LT Pro" w:hAnsi="Avenir Next LT Pro"/>
          <w:color w:val="000000"/>
          <w:sz w:val="20"/>
          <w:szCs w:val="20"/>
        </w:rPr>
        <w:t xml:space="preserve"> all beneficiaries are being both mentored and tutored to improve their academic performance), they can be counted in a single performance measure.</w:t>
      </w:r>
    </w:p>
    <w:p w14:paraId="6016560C" w14:textId="77777777"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p>
    <w:p w14:paraId="53EFEC71"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Can one performance measure output have more than one outcome?  </w:t>
      </w:r>
    </w:p>
    <w:p w14:paraId="364E7BF9" w14:textId="77777777" w:rsidR="0041126D" w:rsidRPr="009578F2" w:rsidRDefault="0041126D" w:rsidP="0041126D">
      <w:pPr>
        <w:spacing w:after="0" w:line="240" w:lineRule="auto"/>
        <w:contextualSpacing/>
        <w:rPr>
          <w:rFonts w:ascii="Avenir Next LT Pro" w:hAnsi="Avenir Next LT Pro"/>
          <w:sz w:val="20"/>
          <w:szCs w:val="20"/>
        </w:rPr>
      </w:pPr>
    </w:p>
    <w:p w14:paraId="7BF6DFE3"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Yes, there may be more than one outcome measure associated with a single output.  Aligned measures should only be configured this way if it is expected that all of the individuals counted in the output will potentially achieve the outcomes indicated.  If the outcomes are resulting from different populations being served, they should be counted in distinct performance measures.</w:t>
      </w:r>
    </w:p>
    <w:p w14:paraId="48F7FEE6" w14:textId="77777777" w:rsidR="0041126D" w:rsidRPr="009578F2" w:rsidRDefault="0041126D" w:rsidP="0041126D">
      <w:pPr>
        <w:spacing w:after="0" w:line="240" w:lineRule="auto"/>
        <w:contextualSpacing/>
        <w:rPr>
          <w:rFonts w:ascii="Avenir Next LT Pro" w:hAnsi="Avenir Next LT Pro"/>
          <w:b/>
          <w:sz w:val="20"/>
          <w:szCs w:val="20"/>
        </w:rPr>
      </w:pPr>
    </w:p>
    <w:p w14:paraId="6CFAAC12"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Can I count the same people more than once under one performance measure output or outcome if they receive service in more than one grant year?</w:t>
      </w:r>
    </w:p>
    <w:p w14:paraId="67A82BAB" w14:textId="77777777" w:rsidR="0041126D" w:rsidRPr="009578F2" w:rsidRDefault="0041126D" w:rsidP="0041126D">
      <w:pPr>
        <w:pStyle w:val="ListParagraph"/>
        <w:ind w:left="0"/>
        <w:contextualSpacing/>
        <w:rPr>
          <w:rFonts w:ascii="Avenir Next LT Pro" w:hAnsi="Avenir Next LT Pro"/>
          <w:b/>
          <w:i/>
          <w:sz w:val="20"/>
          <w:szCs w:val="20"/>
        </w:rPr>
      </w:pPr>
    </w:p>
    <w:p w14:paraId="39A02626" w14:textId="77777777" w:rsidR="0041126D" w:rsidRPr="009578F2" w:rsidRDefault="0041126D" w:rsidP="0041126D">
      <w:pPr>
        <w:pStyle w:val="ListParagraph"/>
        <w:ind w:left="0"/>
        <w:contextualSpacing/>
        <w:rPr>
          <w:rFonts w:ascii="Avenir Next LT Pro" w:hAnsi="Avenir Next LT Pro"/>
          <w:b/>
          <w:i/>
          <w:sz w:val="20"/>
          <w:szCs w:val="20"/>
        </w:rPr>
      </w:pPr>
      <w:r w:rsidRPr="009578F2">
        <w:rPr>
          <w:rFonts w:ascii="Avenir Next LT Pro" w:hAnsi="Avenir Next LT Pro"/>
          <w:sz w:val="20"/>
          <w:szCs w:val="20"/>
        </w:rPr>
        <w:lastRenderedPageBreak/>
        <w:t>If the individual receives services in more than one grant year, they may be counted as having received services in the output measure for each of the grant years in which they receive services.  They may only be counted in the outcome measure for each grant year if they meet the specified level of improvement for the outcome in each year.  For example, a student receives tutoring in second and third grade.  The program expects that students will improve their reading score by one grade level each year.  If the student is served in both second and third grade and improves by one grade level in each year, the student may be counted in output ED1A and outcome ED5A for both years.  If the student improves by ½ grade level in second grade and one grade level in third grade, the student may be counted in ED1A for both years but only in ED5A for the third-grade year.</w:t>
      </w:r>
    </w:p>
    <w:p w14:paraId="4FE45047" w14:textId="77777777" w:rsidR="0041126D" w:rsidRPr="009578F2" w:rsidRDefault="0041126D" w:rsidP="0041126D">
      <w:pPr>
        <w:spacing w:after="0" w:line="240" w:lineRule="auto"/>
        <w:contextualSpacing/>
        <w:rPr>
          <w:rFonts w:ascii="Avenir Next LT Pro" w:hAnsi="Avenir Next LT Pro"/>
          <w:b/>
          <w:sz w:val="20"/>
          <w:szCs w:val="20"/>
        </w:rPr>
      </w:pPr>
    </w:p>
    <w:p w14:paraId="04E890C8"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Am I allowed to allocate funds for collecting and analyzing data? If so, how much? </w:t>
      </w:r>
      <w:r w:rsidRPr="009578F2">
        <w:rPr>
          <w:rFonts w:ascii="Avenir Next LT Pro" w:hAnsi="Avenir Next LT Pro"/>
          <w:b/>
          <w:i/>
          <w:sz w:val="20"/>
          <w:szCs w:val="20"/>
        </w:rPr>
        <w:tab/>
      </w:r>
    </w:p>
    <w:p w14:paraId="69070C17" w14:textId="77777777" w:rsidR="0041126D" w:rsidRPr="009578F2" w:rsidRDefault="0041126D" w:rsidP="0041126D">
      <w:pPr>
        <w:spacing w:after="0" w:line="240" w:lineRule="auto"/>
        <w:contextualSpacing/>
        <w:rPr>
          <w:rFonts w:ascii="Avenir Next LT Pro" w:hAnsi="Avenir Next LT Pro"/>
          <w:sz w:val="20"/>
          <w:szCs w:val="20"/>
        </w:rPr>
      </w:pPr>
    </w:p>
    <w:p w14:paraId="4E67BA7A"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Costs related to measuring the performance of a program are allowable grant expenses. There is no standard recommended amount. As with all grant expenditures, these costs must be reasonable, allowable for the proposed program, and properly allocated across grant activities.  </w:t>
      </w:r>
    </w:p>
    <w:p w14:paraId="7C69B847" w14:textId="77777777" w:rsidR="0041126D" w:rsidRPr="009578F2" w:rsidRDefault="0041126D" w:rsidP="0041126D">
      <w:pPr>
        <w:spacing w:after="0" w:line="240" w:lineRule="auto"/>
        <w:contextualSpacing/>
        <w:rPr>
          <w:rFonts w:ascii="Avenir Next LT Pro" w:hAnsi="Avenir Next LT Pro"/>
          <w:sz w:val="20"/>
          <w:szCs w:val="20"/>
        </w:rPr>
      </w:pPr>
    </w:p>
    <w:p w14:paraId="7ECF7373"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Is my program expected to monitor member time to ensure that it corresponds to what is entered into the Performance Measures Module for the focus areas and strategic plan objectives? </w:t>
      </w:r>
      <w:r w:rsidRPr="009578F2">
        <w:rPr>
          <w:rFonts w:ascii="Avenir Next LT Pro" w:hAnsi="Avenir Next LT Pro"/>
          <w:b/>
          <w:i/>
          <w:sz w:val="20"/>
          <w:szCs w:val="20"/>
        </w:rPr>
        <w:tab/>
      </w:r>
    </w:p>
    <w:p w14:paraId="778D0620" w14:textId="77777777" w:rsidR="0041126D" w:rsidRPr="009578F2" w:rsidRDefault="0041126D" w:rsidP="0041126D">
      <w:pPr>
        <w:spacing w:after="0" w:line="240" w:lineRule="auto"/>
        <w:contextualSpacing/>
        <w:rPr>
          <w:rFonts w:ascii="Avenir Next LT Pro" w:hAnsi="Avenir Next LT Pro"/>
          <w:sz w:val="20"/>
          <w:szCs w:val="20"/>
        </w:rPr>
      </w:pPr>
    </w:p>
    <w:p w14:paraId="7830E37F"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Applicants should enter MSYs and members according to the distribution of time that members are expected to engage in each focus area and strategic plan objective. Programs will not be required to report on how the members actually spent their time.  MSY allocations in the application should present the program’s best estimate.</w:t>
      </w:r>
    </w:p>
    <w:p w14:paraId="0694724E" w14:textId="77777777" w:rsidR="0041126D" w:rsidRPr="009578F2" w:rsidRDefault="0041126D" w:rsidP="0041126D">
      <w:pPr>
        <w:spacing w:after="0" w:line="240" w:lineRule="auto"/>
        <w:contextualSpacing/>
        <w:rPr>
          <w:rFonts w:ascii="Avenir Next LT Pro" w:hAnsi="Avenir Next LT Pro"/>
          <w:sz w:val="20"/>
          <w:szCs w:val="20"/>
        </w:rPr>
      </w:pPr>
    </w:p>
    <w:p w14:paraId="07F1D4DC" w14:textId="77777777" w:rsidR="0041126D" w:rsidRPr="009578F2" w:rsidRDefault="0041126D" w:rsidP="0041126D">
      <w:pPr>
        <w:pStyle w:val="ListParagraph"/>
        <w:numPr>
          <w:ilvl w:val="0"/>
          <w:numId w:val="2"/>
        </w:numPr>
        <w:autoSpaceDE w:val="0"/>
        <w:autoSpaceDN w:val="0"/>
        <w:adjustRightInd w:val="0"/>
        <w:contextualSpacing/>
        <w:rPr>
          <w:rFonts w:ascii="Avenir Next LT Pro" w:hAnsi="Avenir Next LT Pro"/>
          <w:b/>
          <w:i/>
          <w:iCs/>
          <w:color w:val="000000"/>
          <w:sz w:val="20"/>
          <w:szCs w:val="20"/>
        </w:rPr>
      </w:pPr>
      <w:r w:rsidRPr="009578F2">
        <w:rPr>
          <w:rFonts w:ascii="Avenir Next LT Pro" w:hAnsi="Avenir Next LT Pro"/>
          <w:b/>
          <w:i/>
          <w:iCs/>
          <w:color w:val="000000"/>
          <w:sz w:val="20"/>
          <w:szCs w:val="20"/>
        </w:rPr>
        <w:t xml:space="preserve">On the logic model chart there are three outcome levels (short, </w:t>
      </w:r>
      <w:proofErr w:type="gramStart"/>
      <w:r w:rsidRPr="009578F2">
        <w:rPr>
          <w:rFonts w:ascii="Avenir Next LT Pro" w:hAnsi="Avenir Next LT Pro"/>
          <w:b/>
          <w:i/>
          <w:iCs/>
          <w:color w:val="000000"/>
          <w:sz w:val="20"/>
          <w:szCs w:val="20"/>
        </w:rPr>
        <w:t>medium</w:t>
      </w:r>
      <w:proofErr w:type="gramEnd"/>
      <w:r w:rsidRPr="009578F2">
        <w:rPr>
          <w:rFonts w:ascii="Avenir Next LT Pro" w:hAnsi="Avenir Next LT Pro"/>
          <w:b/>
          <w:i/>
          <w:iCs/>
          <w:color w:val="000000"/>
          <w:sz w:val="20"/>
          <w:szCs w:val="20"/>
        </w:rPr>
        <w:t xml:space="preserve"> and long). Should all of these outcomes be entered as performance measures?  </w:t>
      </w:r>
    </w:p>
    <w:p w14:paraId="637FAA13" w14:textId="77777777"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p>
    <w:p w14:paraId="33AC96E9" w14:textId="77777777"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r w:rsidRPr="009578F2">
        <w:rPr>
          <w:rFonts w:ascii="Avenir Next LT Pro" w:hAnsi="Avenir Next LT Pro"/>
          <w:color w:val="000000"/>
          <w:sz w:val="20"/>
          <w:szCs w:val="20"/>
        </w:rPr>
        <w:t xml:space="preserve">A program may have a theory of change that is based on accomplishing a long-term change in condition that is not measurable in a single program year. However, there may be shorter-term changes that can be linked to this ultimate goal that are strong indicators that the long-term change is likely to happen. While all of these outcomes may be included in the logic model, grantees are not required to measure or report on all of the outcomes.  For performance measurement purposes, outcomes must measure changes that can be observed within a single program year. </w:t>
      </w:r>
    </w:p>
    <w:p w14:paraId="7F2633B8" w14:textId="77777777" w:rsidR="0041126D" w:rsidRPr="009578F2" w:rsidRDefault="0041126D" w:rsidP="0041126D">
      <w:pPr>
        <w:autoSpaceDE w:val="0"/>
        <w:autoSpaceDN w:val="0"/>
        <w:adjustRightInd w:val="0"/>
        <w:spacing w:after="0" w:line="240" w:lineRule="auto"/>
        <w:contextualSpacing/>
        <w:rPr>
          <w:rFonts w:ascii="Avenir Next LT Pro" w:hAnsi="Avenir Next LT Pro"/>
          <w:color w:val="000000"/>
          <w:sz w:val="20"/>
          <w:szCs w:val="20"/>
        </w:rPr>
      </w:pPr>
    </w:p>
    <w:p w14:paraId="779B1A31"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The National Performance Measure I want to select doesn’t appear in the drop-down menu.    What should I do?  </w:t>
      </w:r>
    </w:p>
    <w:p w14:paraId="1448CFDA" w14:textId="77777777" w:rsidR="0041126D" w:rsidRPr="009578F2" w:rsidRDefault="0041126D" w:rsidP="0041126D">
      <w:pPr>
        <w:spacing w:after="0" w:line="240" w:lineRule="auto"/>
        <w:contextualSpacing/>
        <w:rPr>
          <w:rFonts w:ascii="Avenir Next LT Pro" w:hAnsi="Avenir Next LT Pro"/>
          <w:b/>
          <w:i/>
          <w:sz w:val="20"/>
          <w:szCs w:val="20"/>
        </w:rPr>
      </w:pPr>
    </w:p>
    <w:p w14:paraId="485A9006"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Only performance measures corresponding to objectives selected on the Objectives tab will appear in the drop-down menu.  Refer to the Performance Measure selection rules to determine which objective to select for each performance measure.  Do NOT create an applicant-determined measure that duplicates a National Performance Measure.</w:t>
      </w:r>
    </w:p>
    <w:p w14:paraId="55540800" w14:textId="77777777" w:rsidR="0041126D" w:rsidRPr="009578F2" w:rsidRDefault="0041126D" w:rsidP="0041126D">
      <w:pPr>
        <w:pStyle w:val="ListParagraph"/>
        <w:ind w:left="360"/>
        <w:contextualSpacing/>
        <w:rPr>
          <w:rFonts w:ascii="Avenir Next LT Pro" w:hAnsi="Avenir Next LT Pro"/>
          <w:b/>
          <w:i/>
          <w:sz w:val="20"/>
          <w:szCs w:val="20"/>
        </w:rPr>
      </w:pPr>
    </w:p>
    <w:p w14:paraId="13C3CF54"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I want to create an applicant-determined measure, but the Performance Measures Module isn’t allowing me to do that.  What should I do?</w:t>
      </w:r>
    </w:p>
    <w:p w14:paraId="59F58F7F" w14:textId="77777777" w:rsidR="0041126D" w:rsidRPr="009578F2" w:rsidRDefault="0041126D" w:rsidP="0041126D">
      <w:pPr>
        <w:pStyle w:val="ListParagraph"/>
        <w:ind w:left="360"/>
        <w:contextualSpacing/>
        <w:rPr>
          <w:rFonts w:ascii="Avenir Next LT Pro" w:hAnsi="Avenir Next LT Pro"/>
          <w:b/>
          <w:i/>
          <w:sz w:val="20"/>
          <w:szCs w:val="20"/>
        </w:rPr>
      </w:pPr>
    </w:p>
    <w:p w14:paraId="3C8EEE01" w14:textId="77777777" w:rsidR="0041126D" w:rsidRPr="009578F2" w:rsidRDefault="0041126D" w:rsidP="0041126D">
      <w:pPr>
        <w:pStyle w:val="ListParagraph"/>
        <w:ind w:left="0"/>
        <w:contextualSpacing/>
        <w:rPr>
          <w:rFonts w:ascii="Avenir Next LT Pro" w:hAnsi="Avenir Next LT Pro"/>
          <w:sz w:val="20"/>
          <w:szCs w:val="20"/>
        </w:rPr>
      </w:pPr>
      <w:r w:rsidRPr="009578F2">
        <w:rPr>
          <w:rFonts w:ascii="Avenir Next LT Pro" w:hAnsi="Avenir Next LT Pro"/>
          <w:sz w:val="20"/>
          <w:szCs w:val="20"/>
        </w:rPr>
        <w:t xml:space="preserve">There are some objectives for which the creation of applicant-determined outputs is not allowed.  These include the Capacity Building and Leverage objective (Capacity Building focus area), the Find Opportunity objective (Economic Opportunity focus area), the Teacher Corps objective (Education focus area), the Green Jobs objective (Environmental Stewardship focus area), and the Access &amp; Attract objective (Veterans and Military Families focus area).  For the Capacity Building and Leverage objective, only National Performance Measure outputs are allowed to be used.  For the Find </w:t>
      </w:r>
      <w:r w:rsidRPr="009578F2">
        <w:rPr>
          <w:rFonts w:ascii="Avenir Next LT Pro" w:hAnsi="Avenir Next LT Pro"/>
          <w:sz w:val="20"/>
          <w:szCs w:val="20"/>
        </w:rPr>
        <w:lastRenderedPageBreak/>
        <w:t xml:space="preserve">Opportunity, Teacher Corps, Green Jobs, and Access &amp; Attract objectives, programs are not allowed to create performance measures.  </w:t>
      </w:r>
    </w:p>
    <w:p w14:paraId="524D614C" w14:textId="77777777" w:rsidR="0041126D" w:rsidRPr="009578F2" w:rsidRDefault="0041126D" w:rsidP="0041126D">
      <w:pPr>
        <w:pStyle w:val="ListParagraph"/>
        <w:ind w:left="0"/>
        <w:contextualSpacing/>
        <w:rPr>
          <w:rFonts w:ascii="Avenir Next LT Pro" w:hAnsi="Avenir Next LT Pro"/>
          <w:sz w:val="20"/>
          <w:szCs w:val="20"/>
        </w:rPr>
      </w:pPr>
    </w:p>
    <w:p w14:paraId="7D9A7EA4"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I am required to have a performance measure associated with my primary intervention, but I am not able to create a performance measure for the primary intervention I have selected.  What should I do?</w:t>
      </w:r>
    </w:p>
    <w:p w14:paraId="2AF95835" w14:textId="77777777" w:rsidR="0041126D" w:rsidRPr="009578F2" w:rsidRDefault="0041126D" w:rsidP="0041126D">
      <w:pPr>
        <w:pStyle w:val="ListParagraph"/>
        <w:ind w:left="0"/>
        <w:contextualSpacing/>
        <w:rPr>
          <w:rFonts w:ascii="Avenir Next LT Pro" w:hAnsi="Avenir Next LT Pro"/>
          <w:sz w:val="20"/>
          <w:szCs w:val="20"/>
        </w:rPr>
      </w:pPr>
    </w:p>
    <w:p w14:paraId="3AB9C232" w14:textId="77777777" w:rsidR="0041126D" w:rsidRDefault="0041126D" w:rsidP="0041126D">
      <w:pPr>
        <w:pStyle w:val="ListParagraph"/>
        <w:ind w:left="0"/>
        <w:contextualSpacing/>
        <w:rPr>
          <w:rFonts w:ascii="Avenir Next LT Pro" w:hAnsi="Avenir Next LT Pro"/>
          <w:sz w:val="20"/>
          <w:szCs w:val="20"/>
        </w:rPr>
      </w:pPr>
      <w:r w:rsidRPr="009578F2">
        <w:rPr>
          <w:rFonts w:ascii="Avenir Next LT Pro" w:hAnsi="Avenir Next LT Pro"/>
          <w:sz w:val="20"/>
          <w:szCs w:val="20"/>
        </w:rPr>
        <w:t>Since the Find Opportunity, Teacher Corps, Green Jobs, and Access &amp; Attract objectives are member-focused rather than beneficiary-focused, programs are not allowed to create performance measures under these objectives (see FAQ 9).  If your primary intervention is connected to one of those objectives, you will need to go back and select a different primary intervention under a different objective.  You can retain the member-focused objective as secondary.</w:t>
      </w:r>
    </w:p>
    <w:p w14:paraId="035BC2F2" w14:textId="77777777" w:rsidR="0041126D" w:rsidRPr="009578F2" w:rsidRDefault="0041126D" w:rsidP="0041126D">
      <w:pPr>
        <w:pStyle w:val="ListParagraph"/>
        <w:ind w:left="0"/>
        <w:contextualSpacing/>
        <w:rPr>
          <w:rFonts w:ascii="Avenir Next LT Pro" w:hAnsi="Avenir Next LT Pro"/>
          <w:sz w:val="20"/>
          <w:szCs w:val="20"/>
        </w:rPr>
      </w:pPr>
    </w:p>
    <w:p w14:paraId="72527C07" w14:textId="77777777" w:rsidR="0041126D" w:rsidRPr="009578F2" w:rsidRDefault="0041126D" w:rsidP="0041126D">
      <w:pPr>
        <w:pStyle w:val="ListParagraph"/>
        <w:numPr>
          <w:ilvl w:val="0"/>
          <w:numId w:val="2"/>
        </w:numPr>
        <w:contextualSpacing/>
        <w:rPr>
          <w:rFonts w:ascii="Avenir Next LT Pro" w:hAnsi="Avenir Next LT Pro"/>
          <w:b/>
          <w:bCs/>
          <w:i/>
          <w:iCs/>
          <w:sz w:val="20"/>
          <w:szCs w:val="20"/>
        </w:rPr>
      </w:pPr>
      <w:r w:rsidRPr="009578F2">
        <w:rPr>
          <w:rFonts w:ascii="Avenir Next LT Pro" w:hAnsi="Avenir Next LT Pro"/>
          <w:b/>
          <w:bCs/>
          <w:i/>
          <w:iCs/>
          <w:sz w:val="20"/>
          <w:szCs w:val="20"/>
        </w:rPr>
        <w:t xml:space="preserve">Under what circumstances is it ok for grantees to use sampling to measure outputs and outcomes? </w:t>
      </w:r>
      <w:r w:rsidRPr="009578F2">
        <w:rPr>
          <w:rFonts w:ascii="Avenir Next LT Pro" w:hAnsi="Avenir Next LT Pro"/>
        </w:rPr>
        <w:tab/>
      </w:r>
    </w:p>
    <w:p w14:paraId="616D08A2" w14:textId="77777777" w:rsidR="0041126D" w:rsidRPr="009578F2" w:rsidRDefault="0041126D" w:rsidP="0041126D">
      <w:pPr>
        <w:spacing w:after="0" w:line="240" w:lineRule="auto"/>
        <w:contextualSpacing/>
        <w:rPr>
          <w:rFonts w:ascii="Avenir Next LT Pro" w:hAnsi="Avenir Next LT Pro"/>
          <w:b/>
          <w:sz w:val="20"/>
          <w:szCs w:val="20"/>
        </w:rPr>
      </w:pPr>
    </w:p>
    <w:p w14:paraId="2EF124DD" w14:textId="77777777" w:rsidR="0041126D" w:rsidRPr="009578F2" w:rsidRDefault="0041126D" w:rsidP="0041126D">
      <w:pPr>
        <w:pStyle w:val="ListParagraph"/>
        <w:ind w:left="0"/>
        <w:contextualSpacing/>
        <w:rPr>
          <w:rFonts w:ascii="Avenir Next LT Pro" w:hAnsi="Avenir Next LT Pro"/>
          <w:b/>
          <w:i/>
          <w:sz w:val="20"/>
          <w:szCs w:val="20"/>
        </w:rPr>
      </w:pPr>
      <w:r w:rsidRPr="009578F2">
        <w:rPr>
          <w:rFonts w:ascii="Avenir Next LT Pro" w:hAnsi="Avenir Next LT Pro"/>
          <w:sz w:val="20"/>
          <w:szCs w:val="20"/>
        </w:rPr>
        <w:t>Methodologically speaking, sampling is appropriate for competitive grantees as long as the grantee has a solid plan for ensuring that its sample will be representative. Practically speaking, we would want grantees to use sampling only when they are able to make the case that it is unrealistic to collect data from the whole population.  Formula grantees, with rare exceptions granted by AmeriCorps, are not permitted to sample.</w:t>
      </w:r>
      <w:r w:rsidRPr="009578F2">
        <w:rPr>
          <w:rFonts w:ascii="Avenir Next LT Pro" w:hAnsi="Avenir Next LT Pro"/>
          <w:sz w:val="20"/>
          <w:szCs w:val="20"/>
        </w:rPr>
        <w:tab/>
        <w:t xml:space="preserve"> </w:t>
      </w:r>
    </w:p>
    <w:p w14:paraId="74200F58" w14:textId="77777777" w:rsidR="0041126D" w:rsidRPr="009578F2" w:rsidRDefault="0041126D" w:rsidP="0041126D">
      <w:pPr>
        <w:pStyle w:val="ListParagraph"/>
        <w:ind w:left="0"/>
        <w:contextualSpacing/>
        <w:rPr>
          <w:rFonts w:ascii="Avenir Next LT Pro" w:hAnsi="Avenir Next LT Pro"/>
          <w:b/>
          <w:i/>
          <w:sz w:val="20"/>
          <w:szCs w:val="20"/>
        </w:rPr>
      </w:pPr>
    </w:p>
    <w:p w14:paraId="0CF993BD"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When would AmeriCorps not allow sampling? </w:t>
      </w:r>
      <w:r w:rsidRPr="009578F2">
        <w:rPr>
          <w:rFonts w:ascii="Avenir Next LT Pro" w:hAnsi="Avenir Next LT Pro"/>
          <w:b/>
          <w:i/>
          <w:sz w:val="20"/>
          <w:szCs w:val="20"/>
        </w:rPr>
        <w:tab/>
      </w:r>
    </w:p>
    <w:p w14:paraId="5DA57B5F" w14:textId="77777777" w:rsidR="0041126D" w:rsidRPr="009578F2" w:rsidRDefault="0041126D" w:rsidP="0041126D">
      <w:pPr>
        <w:pStyle w:val="ListParagraph"/>
        <w:ind w:left="360"/>
        <w:contextualSpacing/>
        <w:rPr>
          <w:rFonts w:ascii="Avenir Next LT Pro" w:hAnsi="Avenir Next LT Pro"/>
          <w:sz w:val="20"/>
          <w:szCs w:val="20"/>
        </w:rPr>
      </w:pPr>
    </w:p>
    <w:p w14:paraId="307AD0D1"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AmeriCorps will not allow sampling when it is reasonable to expect a grantee to collect data from the whole population. AmeriCorps will also not allow sampling if the grantee’s sampling frame is not sufficient or if the grantee’s methodology will not result in a representative sample.</w:t>
      </w:r>
      <w:r w:rsidRPr="009578F2">
        <w:rPr>
          <w:rFonts w:ascii="Avenir Next LT Pro" w:hAnsi="Avenir Next LT Pro"/>
          <w:sz w:val="20"/>
          <w:szCs w:val="20"/>
        </w:rPr>
        <w:tab/>
      </w:r>
    </w:p>
    <w:p w14:paraId="72A9AB94" w14:textId="77777777" w:rsidR="0041126D" w:rsidRPr="009578F2" w:rsidRDefault="0041126D" w:rsidP="0041126D">
      <w:pPr>
        <w:spacing w:after="0" w:line="240" w:lineRule="auto"/>
        <w:contextualSpacing/>
        <w:rPr>
          <w:rFonts w:ascii="Avenir Next LT Pro" w:hAnsi="Avenir Next LT Pro"/>
          <w:sz w:val="20"/>
          <w:szCs w:val="20"/>
        </w:rPr>
      </w:pPr>
    </w:p>
    <w:p w14:paraId="72283BCE" w14:textId="77777777" w:rsidR="0041126D" w:rsidRPr="009578F2" w:rsidRDefault="0041126D" w:rsidP="0041126D">
      <w:pPr>
        <w:pStyle w:val="ListParagraph"/>
        <w:numPr>
          <w:ilvl w:val="0"/>
          <w:numId w:val="2"/>
        </w:numPr>
        <w:contextualSpacing/>
        <w:rPr>
          <w:rFonts w:ascii="Avenir Next LT Pro" w:hAnsi="Avenir Next LT Pro"/>
          <w:b/>
          <w:i/>
          <w:sz w:val="20"/>
          <w:szCs w:val="20"/>
        </w:rPr>
      </w:pPr>
      <w:r w:rsidRPr="009578F2">
        <w:rPr>
          <w:rFonts w:ascii="Avenir Next LT Pro" w:hAnsi="Avenir Next LT Pro"/>
          <w:b/>
          <w:i/>
          <w:sz w:val="20"/>
          <w:szCs w:val="20"/>
        </w:rPr>
        <w:t xml:space="preserve">How does a grantee set targets when it is planning to sample? </w:t>
      </w:r>
      <w:r w:rsidRPr="009578F2">
        <w:rPr>
          <w:rFonts w:ascii="Avenir Next LT Pro" w:hAnsi="Avenir Next LT Pro"/>
          <w:b/>
          <w:i/>
          <w:sz w:val="20"/>
          <w:szCs w:val="20"/>
        </w:rPr>
        <w:tab/>
      </w:r>
    </w:p>
    <w:p w14:paraId="0C8B5589" w14:textId="77777777" w:rsidR="0041126D" w:rsidRPr="009578F2" w:rsidRDefault="0041126D" w:rsidP="0041126D">
      <w:pPr>
        <w:pStyle w:val="ListParagraph"/>
        <w:ind w:left="360"/>
        <w:contextualSpacing/>
        <w:rPr>
          <w:rFonts w:ascii="Avenir Next LT Pro" w:hAnsi="Avenir Next LT Pro"/>
          <w:sz w:val="20"/>
          <w:szCs w:val="20"/>
        </w:rPr>
      </w:pPr>
    </w:p>
    <w:p w14:paraId="585D1A72"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 xml:space="preserve">In most cases the grantee should be able to set targets based on the population as a whole. If a </w:t>
      </w:r>
      <w:proofErr w:type="gramStart"/>
      <w:r w:rsidRPr="009578F2">
        <w:rPr>
          <w:rFonts w:ascii="Avenir Next LT Pro" w:hAnsi="Avenir Next LT Pro"/>
          <w:sz w:val="20"/>
          <w:szCs w:val="20"/>
        </w:rPr>
        <w:t>grantee‘</w:t>
      </w:r>
      <w:proofErr w:type="gramEnd"/>
      <w:r w:rsidRPr="009578F2">
        <w:rPr>
          <w:rFonts w:ascii="Avenir Next LT Pro" w:hAnsi="Avenir Next LT Pro"/>
          <w:sz w:val="20"/>
          <w:szCs w:val="20"/>
        </w:rPr>
        <w:t>s sampling methodology is sound and results in a representative sample, then the program can extrapolate their results to report on an outcome for the population as a whole. For example, a program reports an output of 1000 children served. The program selects a representative sample of 200 children. Of these, 180 students (90%) demonstrate the desired change. In this case, the program could report an extrapolated outcome of 900 students.</w:t>
      </w:r>
      <w:r w:rsidRPr="009578F2">
        <w:rPr>
          <w:rFonts w:ascii="Avenir Next LT Pro" w:hAnsi="Avenir Next LT Pro"/>
          <w:sz w:val="20"/>
          <w:szCs w:val="20"/>
        </w:rPr>
        <w:tab/>
      </w:r>
    </w:p>
    <w:p w14:paraId="06CC71AB" w14:textId="77777777" w:rsidR="0041126D" w:rsidRPr="009578F2" w:rsidRDefault="0041126D" w:rsidP="0041126D">
      <w:pPr>
        <w:spacing w:after="0" w:line="240" w:lineRule="auto"/>
        <w:contextualSpacing/>
        <w:rPr>
          <w:rFonts w:ascii="Avenir Next LT Pro" w:hAnsi="Avenir Next LT Pro"/>
          <w:b/>
          <w:i/>
          <w:sz w:val="20"/>
          <w:szCs w:val="20"/>
        </w:rPr>
      </w:pPr>
    </w:p>
    <w:p w14:paraId="6C314FF6" w14:textId="77777777" w:rsidR="0041126D" w:rsidRPr="009578F2" w:rsidRDefault="0041126D" w:rsidP="0041126D">
      <w:pPr>
        <w:numPr>
          <w:ilvl w:val="0"/>
          <w:numId w:val="2"/>
        </w:numPr>
        <w:spacing w:after="0" w:line="240" w:lineRule="auto"/>
        <w:contextualSpacing/>
        <w:rPr>
          <w:rFonts w:ascii="Avenir Next LT Pro" w:hAnsi="Avenir Next LT Pro"/>
          <w:b/>
          <w:i/>
          <w:sz w:val="20"/>
          <w:szCs w:val="20"/>
        </w:rPr>
      </w:pPr>
      <w:r w:rsidRPr="009578F2">
        <w:rPr>
          <w:rFonts w:ascii="Avenir Next LT Pro" w:hAnsi="Avenir Next LT Pro"/>
          <w:b/>
          <w:i/>
          <w:sz w:val="20"/>
          <w:szCs w:val="20"/>
        </w:rPr>
        <w:t>How do I request permission to sample?</w:t>
      </w:r>
    </w:p>
    <w:p w14:paraId="3AD57BF7" w14:textId="77777777" w:rsidR="0041126D" w:rsidRPr="009578F2" w:rsidRDefault="0041126D" w:rsidP="0041126D">
      <w:pPr>
        <w:spacing w:after="0" w:line="240" w:lineRule="auto"/>
        <w:contextualSpacing/>
        <w:rPr>
          <w:rFonts w:ascii="Avenir Next LT Pro" w:hAnsi="Avenir Next LT Pro"/>
          <w:b/>
          <w:i/>
          <w:sz w:val="20"/>
          <w:szCs w:val="20"/>
        </w:rPr>
      </w:pPr>
    </w:p>
    <w:p w14:paraId="2B018647" w14:textId="77777777" w:rsidR="0041126D" w:rsidRPr="009578F2" w:rsidRDefault="0041126D" w:rsidP="0041126D">
      <w:pPr>
        <w:spacing w:after="0" w:line="240" w:lineRule="auto"/>
        <w:contextualSpacing/>
        <w:rPr>
          <w:rFonts w:ascii="Avenir Next LT Pro" w:hAnsi="Avenir Next LT Pro"/>
          <w:sz w:val="20"/>
          <w:szCs w:val="20"/>
        </w:rPr>
      </w:pPr>
      <w:r w:rsidRPr="009578F2">
        <w:rPr>
          <w:rFonts w:ascii="Avenir Next LT Pro" w:hAnsi="Avenir Next LT Pro"/>
          <w:sz w:val="20"/>
          <w:szCs w:val="20"/>
        </w:rPr>
        <w:t>A detailed sampling plan must be forwarded to AmeriCorps for consideration.  Please consult the Notice of Funding Opportunity or your Portfolio Manager for instructions on how to submit additional documents.</w:t>
      </w:r>
    </w:p>
    <w:p w14:paraId="74891992" w14:textId="77777777" w:rsidR="0041126D" w:rsidRPr="009578F2" w:rsidRDefault="0041126D" w:rsidP="0041126D">
      <w:pPr>
        <w:spacing w:after="0" w:line="240" w:lineRule="auto"/>
        <w:contextualSpacing/>
        <w:rPr>
          <w:rFonts w:ascii="Avenir Next LT Pro" w:hAnsi="Avenir Next LT Pro"/>
          <w:sz w:val="20"/>
          <w:szCs w:val="20"/>
        </w:rPr>
      </w:pPr>
    </w:p>
    <w:p w14:paraId="4AA6F6B1" w14:textId="77777777" w:rsidR="0041126D" w:rsidRPr="009578F2" w:rsidRDefault="0041126D" w:rsidP="0041126D">
      <w:pPr>
        <w:spacing w:after="0" w:line="240" w:lineRule="auto"/>
        <w:contextualSpacing/>
        <w:rPr>
          <w:rFonts w:ascii="Avenir Next LT Pro" w:hAnsi="Avenir Next LT Pro"/>
          <w:sz w:val="20"/>
          <w:szCs w:val="20"/>
        </w:rPr>
      </w:pPr>
    </w:p>
    <w:p w14:paraId="530F5848" w14:textId="77777777" w:rsidR="005846CB" w:rsidRDefault="005846CB"/>
    <w:sectPr w:rsidR="005846CB">
      <w:footerReference w:type="default" r:id="rId16"/>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AE391" w14:textId="77777777" w:rsidR="00C6509E" w:rsidRDefault="00C6509E">
      <w:pPr>
        <w:spacing w:after="0" w:line="240" w:lineRule="auto"/>
      </w:pPr>
      <w:r>
        <w:separator/>
      </w:r>
    </w:p>
  </w:endnote>
  <w:endnote w:type="continuationSeparator" w:id="0">
    <w:p w14:paraId="1C6E63B1" w14:textId="77777777" w:rsidR="00C6509E" w:rsidRDefault="00C6509E">
      <w:pPr>
        <w:spacing w:after="0" w:line="240" w:lineRule="auto"/>
      </w:pPr>
      <w:r>
        <w:continuationSeparator/>
      </w:r>
    </w:p>
  </w:endnote>
  <w:endnote w:type="continuationNotice" w:id="1">
    <w:p w14:paraId="7E042186" w14:textId="77777777" w:rsidR="00C6509E" w:rsidRDefault="00C650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Arial Bold Italic">
    <w:panose1 w:val="00000000000000000000"/>
    <w:charset w:val="00"/>
    <w:family w:val="roman"/>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roman"/>
    <w:pitch w:val="default"/>
    <w:sig w:usb0="00000003" w:usb1="00000000" w:usb2="00000000" w:usb3="00000000" w:csb0="00000001" w:csb1="00000000"/>
  </w:font>
  <w:font w:name="Avenir Next LT Pro">
    <w:altName w:val="Avenir Next LT Pro"/>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1BFD" w14:textId="77777777" w:rsidR="00CE3EE1" w:rsidRDefault="0041126D">
    <w:pPr>
      <w:pStyle w:val="Footer"/>
      <w:jc w:val="center"/>
    </w:pPr>
    <w:r>
      <w:fldChar w:fldCharType="begin"/>
    </w:r>
    <w:r>
      <w:instrText xml:space="preserve"> PAGE   \* MERGEFORMAT </w:instrText>
    </w:r>
    <w:r>
      <w:fldChar w:fldCharType="separate"/>
    </w:r>
    <w:r>
      <w:rPr>
        <w:noProof/>
      </w:rPr>
      <w:t>21</w:t>
    </w:r>
    <w:r>
      <w:rPr>
        <w:noProof/>
      </w:rPr>
      <w:fldChar w:fldCharType="end"/>
    </w:r>
  </w:p>
  <w:p w14:paraId="5CD75FB9" w14:textId="77777777" w:rsidR="00CE3EE1" w:rsidRPr="009F0E60" w:rsidRDefault="00CE3EE1">
    <w:pPr>
      <w:pStyle w:val="Footer"/>
      <w:tabs>
        <w:tab w:val="left" w:pos="4245"/>
      </w:tabs>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A8469" w14:textId="77777777" w:rsidR="00C6509E" w:rsidRDefault="00C6509E">
      <w:pPr>
        <w:spacing w:after="0" w:line="240" w:lineRule="auto"/>
      </w:pPr>
      <w:r>
        <w:separator/>
      </w:r>
    </w:p>
  </w:footnote>
  <w:footnote w:type="continuationSeparator" w:id="0">
    <w:p w14:paraId="60BBC705" w14:textId="77777777" w:rsidR="00C6509E" w:rsidRDefault="00C6509E">
      <w:pPr>
        <w:spacing w:after="0" w:line="240" w:lineRule="auto"/>
      </w:pPr>
      <w:r>
        <w:continuationSeparator/>
      </w:r>
    </w:p>
  </w:footnote>
  <w:footnote w:type="continuationNotice" w:id="1">
    <w:p w14:paraId="05BBC974" w14:textId="77777777" w:rsidR="00C6509E" w:rsidRDefault="00C650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06F4"/>
    <w:multiLevelType w:val="hybridMultilevel"/>
    <w:tmpl w:val="BB30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386CE5"/>
    <w:multiLevelType w:val="hybridMultilevel"/>
    <w:tmpl w:val="FD08E7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95401452">
    <w:abstractNumId w:val="0"/>
  </w:num>
  <w:num w:numId="2" w16cid:durableId="139686000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6D"/>
    <w:rsid w:val="00065DE5"/>
    <w:rsid w:val="00065EA4"/>
    <w:rsid w:val="000D7F90"/>
    <w:rsid w:val="001756E8"/>
    <w:rsid w:val="00192313"/>
    <w:rsid w:val="001C5559"/>
    <w:rsid w:val="00346A31"/>
    <w:rsid w:val="003478F4"/>
    <w:rsid w:val="003E59E5"/>
    <w:rsid w:val="0041095B"/>
    <w:rsid w:val="0041126D"/>
    <w:rsid w:val="0043157A"/>
    <w:rsid w:val="00436809"/>
    <w:rsid w:val="004441E7"/>
    <w:rsid w:val="00496ED5"/>
    <w:rsid w:val="004E04CD"/>
    <w:rsid w:val="004E54FA"/>
    <w:rsid w:val="00521ABF"/>
    <w:rsid w:val="005846CB"/>
    <w:rsid w:val="00596432"/>
    <w:rsid w:val="00650671"/>
    <w:rsid w:val="0068690C"/>
    <w:rsid w:val="00712B69"/>
    <w:rsid w:val="00755377"/>
    <w:rsid w:val="00777C0C"/>
    <w:rsid w:val="007B14D0"/>
    <w:rsid w:val="007F17E8"/>
    <w:rsid w:val="00864279"/>
    <w:rsid w:val="00A06E42"/>
    <w:rsid w:val="00AB26F1"/>
    <w:rsid w:val="00AE4BAD"/>
    <w:rsid w:val="00B17BE9"/>
    <w:rsid w:val="00B21C4E"/>
    <w:rsid w:val="00B80FC3"/>
    <w:rsid w:val="00BA351A"/>
    <w:rsid w:val="00C11A54"/>
    <w:rsid w:val="00C1635C"/>
    <w:rsid w:val="00C325D5"/>
    <w:rsid w:val="00C6509E"/>
    <w:rsid w:val="00CB42F1"/>
    <w:rsid w:val="00CE125F"/>
    <w:rsid w:val="00CE3EE1"/>
    <w:rsid w:val="00D076C4"/>
    <w:rsid w:val="00D457A9"/>
    <w:rsid w:val="00F95DD4"/>
    <w:rsid w:val="0CC35CB9"/>
    <w:rsid w:val="0F87CF82"/>
    <w:rsid w:val="101D35C0"/>
    <w:rsid w:val="13A15FED"/>
    <w:rsid w:val="13EBA919"/>
    <w:rsid w:val="1AD3E5A5"/>
    <w:rsid w:val="1F6CAC03"/>
    <w:rsid w:val="2231F1EE"/>
    <w:rsid w:val="22F61FEF"/>
    <w:rsid w:val="338FD3CF"/>
    <w:rsid w:val="397ADF54"/>
    <w:rsid w:val="3ABCBF49"/>
    <w:rsid w:val="3E7A83B0"/>
    <w:rsid w:val="50909591"/>
    <w:rsid w:val="569C6702"/>
    <w:rsid w:val="5779A35C"/>
    <w:rsid w:val="6785A816"/>
    <w:rsid w:val="71EA82CE"/>
    <w:rsid w:val="75E94D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9595"/>
  <w15:chartTrackingRefBased/>
  <w15:docId w15:val="{EAA7986B-B825-47AF-84FD-23A0C800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6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4112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4112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41126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26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41126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1126D"/>
    <w:rPr>
      <w:rFonts w:ascii="Cambria" w:eastAsia="Times New Roman" w:hAnsi="Cambria" w:cs="Times New Roman"/>
      <w:b/>
      <w:bCs/>
      <w:sz w:val="26"/>
      <w:szCs w:val="26"/>
    </w:rPr>
  </w:style>
  <w:style w:type="character" w:styleId="CommentReference">
    <w:name w:val="annotation reference"/>
    <w:uiPriority w:val="99"/>
    <w:unhideWhenUsed/>
    <w:rsid w:val="0041126D"/>
    <w:rPr>
      <w:sz w:val="16"/>
      <w:szCs w:val="16"/>
    </w:rPr>
  </w:style>
  <w:style w:type="paragraph" w:styleId="CommentText">
    <w:name w:val="annotation text"/>
    <w:basedOn w:val="Normal"/>
    <w:link w:val="CommentTextChar"/>
    <w:uiPriority w:val="99"/>
    <w:unhideWhenUsed/>
    <w:rsid w:val="0041126D"/>
    <w:rPr>
      <w:sz w:val="20"/>
      <w:szCs w:val="20"/>
    </w:rPr>
  </w:style>
  <w:style w:type="character" w:customStyle="1" w:styleId="CommentTextChar">
    <w:name w:val="Comment Text Char"/>
    <w:basedOn w:val="DefaultParagraphFont"/>
    <w:link w:val="CommentText"/>
    <w:uiPriority w:val="99"/>
    <w:rsid w:val="0041126D"/>
    <w:rPr>
      <w:rFonts w:ascii="Calibri" w:eastAsia="Calibri" w:hAnsi="Calibri" w:cs="Times New Roman"/>
      <w:sz w:val="20"/>
      <w:szCs w:val="20"/>
    </w:rPr>
  </w:style>
  <w:style w:type="paragraph" w:styleId="BalloonText">
    <w:name w:val="Balloon Text"/>
    <w:basedOn w:val="Normal"/>
    <w:link w:val="BalloonTextChar"/>
    <w:semiHidden/>
    <w:unhideWhenUsed/>
    <w:rsid w:val="0041126D"/>
    <w:rPr>
      <w:rFonts w:ascii="Tahoma" w:hAnsi="Tahoma" w:cs="Tahoma"/>
      <w:sz w:val="16"/>
      <w:szCs w:val="16"/>
    </w:rPr>
  </w:style>
  <w:style w:type="character" w:customStyle="1" w:styleId="BalloonTextChar">
    <w:name w:val="Balloon Text Char"/>
    <w:basedOn w:val="DefaultParagraphFont"/>
    <w:link w:val="BalloonText"/>
    <w:semiHidden/>
    <w:rsid w:val="0041126D"/>
    <w:rPr>
      <w:rFonts w:ascii="Tahoma" w:eastAsia="Calibri" w:hAnsi="Tahoma" w:cs="Tahoma"/>
      <w:sz w:val="16"/>
      <w:szCs w:val="16"/>
    </w:rPr>
  </w:style>
  <w:style w:type="paragraph" w:customStyle="1" w:styleId="FreeForm">
    <w:name w:val="Free Form"/>
    <w:rsid w:val="0041126D"/>
    <w:pPr>
      <w:spacing w:after="0" w:line="240" w:lineRule="auto"/>
    </w:pPr>
    <w:rPr>
      <w:rFonts w:ascii="Times New Roman" w:eastAsia="ヒラギノ角ゴ Pro W3" w:hAnsi="Times New Roman" w:cs="Times New Roman"/>
      <w:color w:val="000000"/>
      <w:sz w:val="20"/>
      <w:szCs w:val="20"/>
    </w:rPr>
  </w:style>
  <w:style w:type="paragraph" w:customStyle="1" w:styleId="Default">
    <w:name w:val="Default"/>
    <w:rsid w:val="0041126D"/>
    <w:pPr>
      <w:spacing w:after="0" w:line="240" w:lineRule="auto"/>
    </w:pPr>
    <w:rPr>
      <w:rFonts w:ascii="Times New Roman" w:eastAsia="ヒラギノ角ゴ Pro W3" w:hAnsi="Times New Roman" w:cs="Times New Roman"/>
      <w:color w:val="000000"/>
      <w:sz w:val="24"/>
      <w:szCs w:val="20"/>
    </w:rPr>
  </w:style>
  <w:style w:type="paragraph" w:styleId="CommentSubject">
    <w:name w:val="annotation subject"/>
    <w:basedOn w:val="CommentText"/>
    <w:next w:val="CommentText"/>
    <w:link w:val="CommentSubjectChar"/>
    <w:unhideWhenUsed/>
    <w:rsid w:val="0041126D"/>
    <w:rPr>
      <w:b/>
      <w:bCs/>
    </w:rPr>
  </w:style>
  <w:style w:type="character" w:customStyle="1" w:styleId="CommentSubjectChar">
    <w:name w:val="Comment Subject Char"/>
    <w:basedOn w:val="CommentTextChar"/>
    <w:link w:val="CommentSubject"/>
    <w:rsid w:val="0041126D"/>
    <w:rPr>
      <w:rFonts w:ascii="Calibri" w:eastAsia="Calibri" w:hAnsi="Calibri" w:cs="Times New Roman"/>
      <w:b/>
      <w:bCs/>
      <w:sz w:val="20"/>
      <w:szCs w:val="20"/>
    </w:rPr>
  </w:style>
  <w:style w:type="paragraph" w:styleId="TOCHeading">
    <w:name w:val="TOC Heading"/>
    <w:basedOn w:val="Heading1"/>
    <w:next w:val="Normal"/>
    <w:uiPriority w:val="39"/>
    <w:qFormat/>
    <w:rsid w:val="0041126D"/>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41126D"/>
    <w:pPr>
      <w:tabs>
        <w:tab w:val="right" w:leader="dot" w:pos="9350"/>
      </w:tabs>
    </w:pPr>
    <w:rPr>
      <w:rFonts w:ascii="Times New Roman" w:eastAsia="Times New Roman" w:hAnsi="Times New Roman"/>
      <w:noProof/>
    </w:rPr>
  </w:style>
  <w:style w:type="paragraph" w:styleId="TOC2">
    <w:name w:val="toc 2"/>
    <w:basedOn w:val="Normal"/>
    <w:next w:val="Normal"/>
    <w:autoRedefine/>
    <w:uiPriority w:val="39"/>
    <w:unhideWhenUsed/>
    <w:rsid w:val="0041126D"/>
    <w:pPr>
      <w:ind w:left="220"/>
    </w:pPr>
  </w:style>
  <w:style w:type="paragraph" w:styleId="TOC3">
    <w:name w:val="toc 3"/>
    <w:basedOn w:val="Normal"/>
    <w:next w:val="Normal"/>
    <w:autoRedefine/>
    <w:uiPriority w:val="39"/>
    <w:unhideWhenUsed/>
    <w:rsid w:val="0041126D"/>
    <w:pPr>
      <w:ind w:left="440"/>
    </w:pPr>
  </w:style>
  <w:style w:type="character" w:styleId="Hyperlink">
    <w:name w:val="Hyperlink"/>
    <w:uiPriority w:val="99"/>
    <w:unhideWhenUsed/>
    <w:rsid w:val="0041126D"/>
    <w:rPr>
      <w:color w:val="0000FF"/>
      <w:u w:val="single"/>
    </w:rPr>
  </w:style>
  <w:style w:type="paragraph" w:styleId="ListParagraph">
    <w:name w:val="List Paragraph"/>
    <w:basedOn w:val="Normal"/>
    <w:uiPriority w:val="34"/>
    <w:qFormat/>
    <w:rsid w:val="0041126D"/>
    <w:pPr>
      <w:spacing w:after="0" w:line="240" w:lineRule="auto"/>
      <w:ind w:left="720"/>
    </w:pPr>
    <w:rPr>
      <w:rFonts w:ascii="Times New Roman" w:hAnsi="Times New Roman"/>
      <w:sz w:val="24"/>
      <w:szCs w:val="24"/>
    </w:rPr>
  </w:style>
  <w:style w:type="paragraph" w:styleId="Header">
    <w:name w:val="header"/>
    <w:basedOn w:val="Normal"/>
    <w:link w:val="HeaderChar"/>
    <w:unhideWhenUsed/>
    <w:rsid w:val="0041126D"/>
    <w:pPr>
      <w:tabs>
        <w:tab w:val="center" w:pos="4680"/>
        <w:tab w:val="right" w:pos="9360"/>
      </w:tabs>
    </w:pPr>
  </w:style>
  <w:style w:type="character" w:customStyle="1" w:styleId="HeaderChar">
    <w:name w:val="Header Char"/>
    <w:basedOn w:val="DefaultParagraphFont"/>
    <w:link w:val="Header"/>
    <w:rsid w:val="0041126D"/>
    <w:rPr>
      <w:rFonts w:ascii="Calibri" w:eastAsia="Calibri" w:hAnsi="Calibri" w:cs="Times New Roman"/>
    </w:rPr>
  </w:style>
  <w:style w:type="paragraph" w:styleId="Footer">
    <w:name w:val="footer"/>
    <w:basedOn w:val="Normal"/>
    <w:link w:val="FooterChar"/>
    <w:uiPriority w:val="99"/>
    <w:unhideWhenUsed/>
    <w:rsid w:val="0041126D"/>
    <w:pPr>
      <w:tabs>
        <w:tab w:val="center" w:pos="4680"/>
        <w:tab w:val="right" w:pos="9360"/>
      </w:tabs>
    </w:pPr>
  </w:style>
  <w:style w:type="character" w:customStyle="1" w:styleId="FooterChar">
    <w:name w:val="Footer Char"/>
    <w:basedOn w:val="DefaultParagraphFont"/>
    <w:link w:val="Footer"/>
    <w:uiPriority w:val="99"/>
    <w:rsid w:val="0041126D"/>
    <w:rPr>
      <w:rFonts w:ascii="Calibri" w:eastAsia="Calibri" w:hAnsi="Calibri" w:cs="Times New Roman"/>
    </w:rPr>
  </w:style>
  <w:style w:type="paragraph" w:customStyle="1" w:styleId="msolistparagraph0">
    <w:name w:val="msolistparagraph"/>
    <w:basedOn w:val="Normal"/>
    <w:rsid w:val="0041126D"/>
    <w:pPr>
      <w:spacing w:after="0" w:line="240" w:lineRule="auto"/>
      <w:ind w:left="720"/>
    </w:pPr>
    <w:rPr>
      <w:rFonts w:eastAsia="Times New Roman"/>
    </w:rPr>
  </w:style>
  <w:style w:type="paragraph" w:customStyle="1" w:styleId="FreeFormA">
    <w:name w:val="Free Form A"/>
    <w:rsid w:val="0041126D"/>
    <w:pPr>
      <w:spacing w:after="0" w:line="240" w:lineRule="auto"/>
    </w:pPr>
    <w:rPr>
      <w:rFonts w:ascii="Times New Roman" w:eastAsia="ヒラギノ角ゴ Pro W3" w:hAnsi="Times New Roman" w:cs="Times New Roman"/>
      <w:color w:val="000000"/>
      <w:sz w:val="20"/>
      <w:szCs w:val="20"/>
    </w:rPr>
  </w:style>
  <w:style w:type="character" w:customStyle="1" w:styleId="Hyperlink1">
    <w:name w:val="Hyperlink1"/>
    <w:rsid w:val="0041126D"/>
    <w:rPr>
      <w:color w:val="002FEF"/>
      <w:sz w:val="20"/>
      <w:u w:val="single"/>
    </w:rPr>
  </w:style>
  <w:style w:type="paragraph" w:styleId="Revision">
    <w:name w:val="Revision"/>
    <w:hidden/>
    <w:uiPriority w:val="99"/>
    <w:semiHidden/>
    <w:rsid w:val="0041126D"/>
    <w:pPr>
      <w:spacing w:after="0" w:line="240" w:lineRule="auto"/>
    </w:pPr>
    <w:rPr>
      <w:rFonts w:ascii="Calibri" w:eastAsia="Calibri" w:hAnsi="Calibri" w:cs="Times New Roman"/>
    </w:rPr>
  </w:style>
  <w:style w:type="paragraph" w:customStyle="1" w:styleId="Heading2AA">
    <w:name w:val="Heading 2 A A"/>
    <w:next w:val="Normal"/>
    <w:rsid w:val="0041126D"/>
    <w:pPr>
      <w:keepNext/>
      <w:spacing w:before="240" w:after="60" w:line="240" w:lineRule="auto"/>
      <w:outlineLvl w:val="1"/>
    </w:pPr>
    <w:rPr>
      <w:rFonts w:ascii="Arial Bold Italic" w:eastAsia="ヒラギノ角ゴ Pro W3" w:hAnsi="Arial Bold Italic" w:cs="Times New Roman"/>
      <w:color w:val="000000"/>
      <w:sz w:val="28"/>
      <w:szCs w:val="20"/>
    </w:rPr>
  </w:style>
  <w:style w:type="character" w:customStyle="1" w:styleId="Strong1">
    <w:name w:val="Strong1"/>
    <w:autoRedefine/>
    <w:rsid w:val="0041126D"/>
    <w:rPr>
      <w:rFonts w:ascii="Lucida Grande" w:eastAsia="ヒラギノ角ゴ Pro W3" w:hAnsi="Lucida Grande"/>
      <w:b/>
      <w:i w:val="0"/>
      <w:color w:val="000000"/>
      <w:sz w:val="20"/>
    </w:rPr>
  </w:style>
  <w:style w:type="paragraph" w:customStyle="1" w:styleId="xmsolistparagraph">
    <w:name w:val="x_msolistparagraph"/>
    <w:basedOn w:val="Normal"/>
    <w:rsid w:val="0041126D"/>
    <w:pPr>
      <w:spacing w:before="100" w:beforeAutospacing="1" w:after="100" w:afterAutospacing="1" w:line="240" w:lineRule="auto"/>
    </w:pPr>
    <w:rPr>
      <w:rFonts w:ascii="Times New Roman" w:eastAsia="Times New Roman" w:hAnsi="Times New Roman"/>
      <w:sz w:val="24"/>
      <w:szCs w:val="24"/>
    </w:rPr>
  </w:style>
  <w:style w:type="paragraph" w:customStyle="1" w:styleId="Footer1">
    <w:name w:val="Footer1"/>
    <w:rsid w:val="0041126D"/>
    <w:pPr>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character" w:customStyle="1" w:styleId="PageNumber1">
    <w:name w:val="Page Number1"/>
    <w:rsid w:val="0041126D"/>
    <w:rPr>
      <w:color w:val="000000"/>
      <w:sz w:val="20"/>
    </w:rPr>
  </w:style>
  <w:style w:type="paragraph" w:styleId="PlainText">
    <w:name w:val="Plain Text"/>
    <w:basedOn w:val="Normal"/>
    <w:link w:val="PlainTextChar"/>
    <w:uiPriority w:val="99"/>
    <w:unhideWhenUsed/>
    <w:rsid w:val="0041126D"/>
    <w:pPr>
      <w:spacing w:after="0" w:line="240" w:lineRule="auto"/>
    </w:pPr>
    <w:rPr>
      <w:szCs w:val="21"/>
    </w:rPr>
  </w:style>
  <w:style w:type="character" w:customStyle="1" w:styleId="PlainTextChar">
    <w:name w:val="Plain Text Char"/>
    <w:basedOn w:val="DefaultParagraphFont"/>
    <w:link w:val="PlainText"/>
    <w:uiPriority w:val="99"/>
    <w:rsid w:val="0041126D"/>
    <w:rPr>
      <w:rFonts w:ascii="Calibri" w:eastAsia="Calibri" w:hAnsi="Calibri" w:cs="Times New Roman"/>
      <w:szCs w:val="21"/>
    </w:rPr>
  </w:style>
  <w:style w:type="paragraph" w:customStyle="1" w:styleId="box-1">
    <w:name w:val="box-1"/>
    <w:rsid w:val="0041126D"/>
    <w:pPr>
      <w:tabs>
        <w:tab w:val="left" w:pos="1080"/>
      </w:tabs>
      <w:spacing w:after="0" w:line="264" w:lineRule="auto"/>
    </w:pPr>
    <w:rPr>
      <w:rFonts w:ascii="Times New Roman" w:eastAsia="ヒラギノ角ゴ Pro W3" w:hAnsi="Times New Roman" w:cs="Times New Roman"/>
      <w:color w:val="000000"/>
      <w:szCs w:val="20"/>
    </w:rPr>
  </w:style>
  <w:style w:type="paragraph" w:customStyle="1" w:styleId="1-question">
    <w:name w:val="1-question"/>
    <w:rsid w:val="0041126D"/>
    <w:pPr>
      <w:tabs>
        <w:tab w:val="left" w:pos="720"/>
        <w:tab w:val="left" w:pos="1080"/>
        <w:tab w:val="left" w:pos="1440"/>
        <w:tab w:val="left" w:pos="1800"/>
        <w:tab w:val="left" w:pos="9360"/>
      </w:tabs>
      <w:spacing w:after="120" w:line="264" w:lineRule="auto"/>
    </w:pPr>
    <w:rPr>
      <w:rFonts w:ascii="Times New Roman" w:eastAsia="ヒラギノ角ゴ Pro W3" w:hAnsi="Times New Roman" w:cs="Times New Roman"/>
      <w:color w:val="000000"/>
      <w:szCs w:val="20"/>
    </w:rPr>
  </w:style>
  <w:style w:type="paragraph" w:customStyle="1" w:styleId="CommentText1">
    <w:name w:val="Comment Text1"/>
    <w:rsid w:val="0041126D"/>
    <w:pPr>
      <w:spacing w:after="0" w:line="240" w:lineRule="auto"/>
    </w:pPr>
    <w:rPr>
      <w:rFonts w:ascii="Times New Roman" w:eastAsia="ヒラギノ角ゴ Pro W3" w:hAnsi="Times New Roman" w:cs="Times New Roman"/>
      <w:color w:val="000000"/>
      <w:sz w:val="20"/>
      <w:szCs w:val="20"/>
    </w:rPr>
  </w:style>
  <w:style w:type="numbering" w:customStyle="1" w:styleId="NoList1">
    <w:name w:val="No List1"/>
    <w:next w:val="NoList"/>
    <w:semiHidden/>
    <w:rsid w:val="0041126D"/>
  </w:style>
  <w:style w:type="paragraph" w:customStyle="1" w:styleId="FreeFormB">
    <w:name w:val="Free Form B"/>
    <w:rsid w:val="0041126D"/>
    <w:pPr>
      <w:spacing w:after="0" w:line="240" w:lineRule="auto"/>
    </w:pPr>
    <w:rPr>
      <w:rFonts w:ascii="Times New Roman" w:eastAsia="ヒラギノ角ゴ Pro W3" w:hAnsi="Times New Roman" w:cs="Times New Roman"/>
      <w:color w:val="000000"/>
      <w:sz w:val="20"/>
      <w:szCs w:val="20"/>
    </w:rPr>
  </w:style>
  <w:style w:type="paragraph" w:customStyle="1" w:styleId="FreeFormAA">
    <w:name w:val="Free Form A A"/>
    <w:rsid w:val="0041126D"/>
    <w:pPr>
      <w:spacing w:after="0" w:line="240" w:lineRule="auto"/>
    </w:pPr>
    <w:rPr>
      <w:rFonts w:ascii="Helvetica" w:eastAsia="ヒラギノ角ゴ Pro W3" w:hAnsi="Helvetica" w:cs="Times New Roman"/>
      <w:color w:val="000000"/>
      <w:sz w:val="24"/>
      <w:szCs w:val="20"/>
    </w:rPr>
  </w:style>
  <w:style w:type="paragraph" w:customStyle="1" w:styleId="BodyBulletA">
    <w:name w:val="Body Bullet A"/>
    <w:rsid w:val="0041126D"/>
    <w:pPr>
      <w:spacing w:after="0" w:line="240" w:lineRule="auto"/>
    </w:pPr>
    <w:rPr>
      <w:rFonts w:ascii="Helvetica" w:eastAsia="ヒラギノ角ゴ Pro W3" w:hAnsi="Helvetica" w:cs="Times New Roman"/>
      <w:color w:val="000000"/>
      <w:sz w:val="24"/>
      <w:szCs w:val="20"/>
    </w:rPr>
  </w:style>
  <w:style w:type="paragraph" w:customStyle="1" w:styleId="FreeFormAB">
    <w:name w:val="Free Form A B"/>
    <w:rsid w:val="0041126D"/>
    <w:pPr>
      <w:spacing w:after="0" w:line="240" w:lineRule="auto"/>
    </w:pPr>
    <w:rPr>
      <w:rFonts w:ascii="Times New Roman" w:eastAsia="ヒラギノ角ゴ Pro W3" w:hAnsi="Times New Roman" w:cs="Times New Roman"/>
      <w:color w:val="000000"/>
      <w:sz w:val="20"/>
      <w:szCs w:val="20"/>
    </w:rPr>
  </w:style>
  <w:style w:type="paragraph" w:customStyle="1" w:styleId="Body">
    <w:name w:val="Body"/>
    <w:rsid w:val="0041126D"/>
    <w:pPr>
      <w:spacing w:after="0" w:line="240" w:lineRule="auto"/>
    </w:pPr>
    <w:rPr>
      <w:rFonts w:ascii="Helvetica" w:eastAsia="ヒラギノ角ゴ Pro W3" w:hAnsi="Helvetica" w:cs="Times New Roman"/>
      <w:color w:val="000000"/>
      <w:sz w:val="24"/>
      <w:szCs w:val="20"/>
    </w:rPr>
  </w:style>
  <w:style w:type="paragraph" w:customStyle="1" w:styleId="NormalWeb1">
    <w:name w:val="Normal (Web)1"/>
    <w:rsid w:val="0041126D"/>
    <w:pPr>
      <w:spacing w:before="100" w:after="100" w:line="240" w:lineRule="auto"/>
    </w:pPr>
    <w:rPr>
      <w:rFonts w:ascii="Verdana" w:eastAsia="ヒラギノ角ゴ Pro W3" w:hAnsi="Verdana" w:cs="Times New Roman"/>
      <w:color w:val="000000"/>
      <w:sz w:val="18"/>
      <w:szCs w:val="20"/>
    </w:rPr>
  </w:style>
  <w:style w:type="character" w:customStyle="1" w:styleId="EmphasisA">
    <w:name w:val="Emphasis A"/>
    <w:rsid w:val="0041126D"/>
    <w:rPr>
      <w:rFonts w:ascii="Lucida Grande" w:eastAsia="ヒラギノ角ゴ Pro W3" w:hAnsi="Lucida Grande"/>
      <w:b w:val="0"/>
      <w:i w:val="0"/>
      <w:color w:val="000000"/>
      <w:sz w:val="20"/>
    </w:rPr>
  </w:style>
  <w:style w:type="character" w:customStyle="1" w:styleId="bold">
    <w:name w:val="bold"/>
    <w:rsid w:val="0041126D"/>
    <w:rPr>
      <w:rFonts w:ascii="Verdana Bold" w:eastAsia="ヒラギノ角ゴ Pro W3" w:hAnsi="Verdana Bold"/>
      <w:b w:val="0"/>
      <w:i w:val="0"/>
      <w:vanish w:val="0"/>
      <w:color w:val="000000"/>
      <w:sz w:val="18"/>
    </w:rPr>
  </w:style>
  <w:style w:type="table" w:styleId="TableGrid">
    <w:name w:val="Table Grid"/>
    <w:basedOn w:val="TableNormal"/>
    <w:rsid w:val="0041126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b0">
    <w:name w:val="freeformb"/>
    <w:basedOn w:val="Normal"/>
    <w:rsid w:val="0041126D"/>
    <w:pPr>
      <w:spacing w:after="0" w:line="240" w:lineRule="auto"/>
    </w:pPr>
    <w:rPr>
      <w:rFonts w:ascii="Times New Roman" w:eastAsia="Times New Roman" w:hAnsi="Times New Roman"/>
      <w:color w:val="000000"/>
      <w:sz w:val="20"/>
      <w:szCs w:val="20"/>
    </w:rPr>
  </w:style>
  <w:style w:type="paragraph" w:customStyle="1" w:styleId="freeformaa0">
    <w:name w:val="freeformaa"/>
    <w:basedOn w:val="Normal"/>
    <w:rsid w:val="0041126D"/>
    <w:pPr>
      <w:spacing w:after="0" w:line="240" w:lineRule="auto"/>
    </w:pPr>
    <w:rPr>
      <w:rFonts w:ascii="Helvetica" w:eastAsia="Times New Roman" w:hAnsi="Helvetica" w:cs="Helvetica"/>
      <w:color w:val="000000"/>
      <w:sz w:val="24"/>
      <w:szCs w:val="24"/>
    </w:rPr>
  </w:style>
  <w:style w:type="paragraph" w:customStyle="1" w:styleId="bodybulleta0">
    <w:name w:val="bodybulleta"/>
    <w:basedOn w:val="Normal"/>
    <w:rsid w:val="0041126D"/>
    <w:pPr>
      <w:spacing w:after="0" w:line="240" w:lineRule="auto"/>
    </w:pPr>
    <w:rPr>
      <w:rFonts w:ascii="Helvetica" w:eastAsia="Times New Roman" w:hAnsi="Helvetica" w:cs="Helvetica"/>
      <w:color w:val="000000"/>
      <w:sz w:val="24"/>
      <w:szCs w:val="24"/>
    </w:rPr>
  </w:style>
  <w:style w:type="paragraph" w:styleId="FootnoteText">
    <w:name w:val="footnote text"/>
    <w:basedOn w:val="Normal"/>
    <w:link w:val="FootnoteTextChar"/>
    <w:uiPriority w:val="99"/>
    <w:rsid w:val="0041126D"/>
    <w:pPr>
      <w:spacing w:before="100" w:beforeAutospacing="1" w:after="100" w:afterAutospacing="1" w:line="240" w:lineRule="auto"/>
    </w:pPr>
    <w:rPr>
      <w:rFonts w:ascii="Times New Roman" w:eastAsia="Times New Roman" w:hAnsi="Times New Roman"/>
      <w:sz w:val="24"/>
      <w:szCs w:val="24"/>
    </w:rPr>
  </w:style>
  <w:style w:type="character" w:customStyle="1" w:styleId="FootnoteTextChar">
    <w:name w:val="Footnote Text Char"/>
    <w:basedOn w:val="DefaultParagraphFont"/>
    <w:link w:val="FootnoteText"/>
    <w:uiPriority w:val="99"/>
    <w:rsid w:val="0041126D"/>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41126D"/>
  </w:style>
  <w:style w:type="character" w:styleId="FollowedHyperlink">
    <w:name w:val="FollowedHyperlink"/>
    <w:rsid w:val="0041126D"/>
    <w:rPr>
      <w:color w:val="800080"/>
      <w:u w:val="single"/>
    </w:rPr>
  </w:style>
  <w:style w:type="numbering" w:customStyle="1" w:styleId="NoList2">
    <w:name w:val="No List2"/>
    <w:next w:val="NoList"/>
    <w:uiPriority w:val="99"/>
    <w:semiHidden/>
    <w:unhideWhenUsed/>
    <w:rsid w:val="0041126D"/>
  </w:style>
  <w:style w:type="character" w:customStyle="1" w:styleId="CharChar4">
    <w:name w:val="Char Char4"/>
    <w:rsid w:val="0041126D"/>
  </w:style>
  <w:style w:type="character" w:customStyle="1" w:styleId="CharChar2">
    <w:name w:val="Char Char2"/>
    <w:rsid w:val="0041126D"/>
    <w:rPr>
      <w:rFonts w:eastAsia="ヒラギノ角ゴ Pro W3"/>
      <w:color w:val="000000"/>
    </w:rPr>
  </w:style>
  <w:style w:type="character" w:customStyle="1" w:styleId="CharChar6">
    <w:name w:val="Char Char6"/>
    <w:rsid w:val="0041126D"/>
    <w:rPr>
      <w:rFonts w:ascii="Cambria" w:eastAsia="Times New Roman" w:hAnsi="Cambria" w:cs="Times New Roman"/>
      <w:b/>
      <w:bCs/>
      <w:i/>
      <w:iCs/>
      <w:sz w:val="28"/>
      <w:szCs w:val="28"/>
    </w:rPr>
  </w:style>
  <w:style w:type="paragraph" w:styleId="TOC4">
    <w:name w:val="toc 4"/>
    <w:basedOn w:val="Normal"/>
    <w:next w:val="Normal"/>
    <w:autoRedefine/>
    <w:semiHidden/>
    <w:rsid w:val="0041126D"/>
    <w:pPr>
      <w:spacing w:after="0" w:line="240" w:lineRule="auto"/>
      <w:ind w:left="720"/>
    </w:pPr>
    <w:rPr>
      <w:rFonts w:ascii="Times New Roman" w:eastAsia="ヒラギノ角ゴ Pro W3" w:hAnsi="Times New Roman"/>
      <w:color w:val="000000"/>
      <w:sz w:val="18"/>
      <w:szCs w:val="18"/>
    </w:rPr>
  </w:style>
  <w:style w:type="paragraph" w:styleId="TOC5">
    <w:name w:val="toc 5"/>
    <w:basedOn w:val="Normal"/>
    <w:next w:val="Normal"/>
    <w:autoRedefine/>
    <w:semiHidden/>
    <w:rsid w:val="0041126D"/>
    <w:pPr>
      <w:spacing w:after="0" w:line="240" w:lineRule="auto"/>
      <w:ind w:left="960"/>
    </w:pPr>
    <w:rPr>
      <w:rFonts w:ascii="Times New Roman" w:eastAsia="ヒラギノ角ゴ Pro W3" w:hAnsi="Times New Roman"/>
      <w:color w:val="000000"/>
      <w:sz w:val="18"/>
      <w:szCs w:val="18"/>
    </w:rPr>
  </w:style>
  <w:style w:type="paragraph" w:styleId="TOC6">
    <w:name w:val="toc 6"/>
    <w:basedOn w:val="Normal"/>
    <w:next w:val="Normal"/>
    <w:autoRedefine/>
    <w:semiHidden/>
    <w:rsid w:val="0041126D"/>
    <w:pPr>
      <w:spacing w:after="0" w:line="240" w:lineRule="auto"/>
      <w:ind w:left="1200"/>
    </w:pPr>
    <w:rPr>
      <w:rFonts w:ascii="Times New Roman" w:eastAsia="ヒラギノ角ゴ Pro W3" w:hAnsi="Times New Roman"/>
      <w:color w:val="000000"/>
      <w:sz w:val="18"/>
      <w:szCs w:val="18"/>
    </w:rPr>
  </w:style>
  <w:style w:type="paragraph" w:styleId="TOC7">
    <w:name w:val="toc 7"/>
    <w:basedOn w:val="Normal"/>
    <w:next w:val="Normal"/>
    <w:autoRedefine/>
    <w:semiHidden/>
    <w:rsid w:val="0041126D"/>
    <w:pPr>
      <w:spacing w:after="0" w:line="240" w:lineRule="auto"/>
      <w:ind w:left="1440"/>
    </w:pPr>
    <w:rPr>
      <w:rFonts w:ascii="Times New Roman" w:eastAsia="ヒラギノ角ゴ Pro W3" w:hAnsi="Times New Roman"/>
      <w:color w:val="000000"/>
      <w:sz w:val="18"/>
      <w:szCs w:val="18"/>
    </w:rPr>
  </w:style>
  <w:style w:type="paragraph" w:styleId="TOC8">
    <w:name w:val="toc 8"/>
    <w:basedOn w:val="Normal"/>
    <w:next w:val="Normal"/>
    <w:autoRedefine/>
    <w:semiHidden/>
    <w:rsid w:val="0041126D"/>
    <w:pPr>
      <w:spacing w:after="0" w:line="240" w:lineRule="auto"/>
      <w:ind w:left="1680"/>
    </w:pPr>
    <w:rPr>
      <w:rFonts w:ascii="Times New Roman" w:eastAsia="ヒラギノ角ゴ Pro W3" w:hAnsi="Times New Roman"/>
      <w:color w:val="000000"/>
      <w:sz w:val="18"/>
      <w:szCs w:val="18"/>
    </w:rPr>
  </w:style>
  <w:style w:type="paragraph" w:styleId="TOC9">
    <w:name w:val="toc 9"/>
    <w:basedOn w:val="Normal"/>
    <w:next w:val="Normal"/>
    <w:autoRedefine/>
    <w:semiHidden/>
    <w:rsid w:val="0041126D"/>
    <w:pPr>
      <w:spacing w:after="0" w:line="240" w:lineRule="auto"/>
      <w:ind w:left="1920"/>
    </w:pPr>
    <w:rPr>
      <w:rFonts w:ascii="Times New Roman" w:eastAsia="ヒラギノ角ゴ Pro W3" w:hAnsi="Times New Roman"/>
      <w:color w:val="000000"/>
      <w:sz w:val="18"/>
      <w:szCs w:val="18"/>
    </w:rPr>
  </w:style>
  <w:style w:type="paragraph" w:styleId="EndnoteText">
    <w:name w:val="endnote text"/>
    <w:basedOn w:val="Normal"/>
    <w:link w:val="EndnoteTextChar"/>
    <w:rsid w:val="0041126D"/>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rsid w:val="0041126D"/>
    <w:rPr>
      <w:rFonts w:ascii="Times New Roman" w:eastAsia="Times New Roman" w:hAnsi="Times New Roman" w:cs="Times New Roman"/>
      <w:sz w:val="20"/>
      <w:szCs w:val="20"/>
    </w:rPr>
  </w:style>
  <w:style w:type="character" w:styleId="EndnoteReference">
    <w:name w:val="endnote reference"/>
    <w:rsid w:val="0041126D"/>
    <w:rPr>
      <w:vertAlign w:val="superscript"/>
    </w:rPr>
  </w:style>
  <w:style w:type="character" w:styleId="Strong">
    <w:name w:val="Strong"/>
    <w:uiPriority w:val="22"/>
    <w:qFormat/>
    <w:rsid w:val="0041126D"/>
    <w:rPr>
      <w:b/>
      <w:bCs/>
    </w:rPr>
  </w:style>
  <w:style w:type="paragraph" w:styleId="NormalWeb">
    <w:name w:val="Normal (Web)"/>
    <w:basedOn w:val="Normal"/>
    <w:uiPriority w:val="99"/>
    <w:unhideWhenUsed/>
    <w:rsid w:val="0041126D"/>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1126D"/>
    <w:rPr>
      <w:b/>
      <w:bCs/>
      <w:i w:val="0"/>
      <w:iCs w:val="0"/>
    </w:rPr>
  </w:style>
  <w:style w:type="character" w:styleId="IntenseEmphasis">
    <w:name w:val="Intense Emphasis"/>
    <w:uiPriority w:val="21"/>
    <w:qFormat/>
    <w:rsid w:val="0041126D"/>
    <w:rPr>
      <w:b/>
      <w:bCs/>
      <w:i/>
      <w:iCs/>
      <w:color w:val="4F81BD"/>
    </w:rPr>
  </w:style>
  <w:style w:type="character" w:customStyle="1" w:styleId="reference-text">
    <w:name w:val="reference-text"/>
    <w:rsid w:val="0041126D"/>
  </w:style>
  <w:style w:type="paragraph" w:styleId="NoSpacing">
    <w:name w:val="No Spacing"/>
    <w:uiPriority w:val="1"/>
    <w:qFormat/>
    <w:rsid w:val="0041126D"/>
    <w:pPr>
      <w:spacing w:after="0" w:line="240" w:lineRule="auto"/>
    </w:pPr>
    <w:rPr>
      <w:rFonts w:ascii="Calibri" w:eastAsia="Calibri" w:hAnsi="Calibri" w:cs="Times New Roman"/>
    </w:rPr>
  </w:style>
  <w:style w:type="paragraph" w:customStyle="1" w:styleId="Style1">
    <w:name w:val="Style1"/>
    <w:basedOn w:val="Normal"/>
    <w:link w:val="Style1Char"/>
    <w:qFormat/>
    <w:rsid w:val="0041126D"/>
    <w:pPr>
      <w:spacing w:after="0" w:line="240" w:lineRule="auto"/>
      <w:contextualSpacing/>
      <w:jc w:val="center"/>
    </w:pPr>
    <w:rPr>
      <w:rFonts w:ascii="Times New Roman" w:hAnsi="Times New Roman"/>
      <w:b/>
      <w:sz w:val="20"/>
      <w:szCs w:val="20"/>
    </w:rPr>
  </w:style>
  <w:style w:type="paragraph" w:customStyle="1" w:styleId="Style2">
    <w:name w:val="Style2"/>
    <w:basedOn w:val="Heading1"/>
    <w:link w:val="Style2Char"/>
    <w:qFormat/>
    <w:rsid w:val="0041126D"/>
    <w:pPr>
      <w:spacing w:after="0" w:line="240" w:lineRule="auto"/>
      <w:contextualSpacing/>
    </w:pPr>
    <w:rPr>
      <w:rFonts w:ascii="Times New Roman" w:hAnsi="Times New Roman"/>
      <w:sz w:val="20"/>
      <w:szCs w:val="20"/>
    </w:rPr>
  </w:style>
  <w:style w:type="character" w:customStyle="1" w:styleId="Style1Char">
    <w:name w:val="Style1 Char"/>
    <w:link w:val="Style1"/>
    <w:rsid w:val="0041126D"/>
    <w:rPr>
      <w:rFonts w:ascii="Times New Roman" w:eastAsia="Calibri" w:hAnsi="Times New Roman" w:cs="Times New Roman"/>
      <w:b/>
      <w:sz w:val="20"/>
      <w:szCs w:val="20"/>
    </w:rPr>
  </w:style>
  <w:style w:type="character" w:customStyle="1" w:styleId="Style2Char">
    <w:name w:val="Style2 Char"/>
    <w:link w:val="Style2"/>
    <w:rsid w:val="0041126D"/>
    <w:rPr>
      <w:rFonts w:ascii="Times New Roman" w:eastAsia="Times New Roman" w:hAnsi="Times New Roman" w:cs="Times New Roman"/>
      <w:b/>
      <w:bCs/>
      <w:kern w:val="32"/>
      <w:sz w:val="20"/>
      <w:szCs w:val="20"/>
    </w:rPr>
  </w:style>
  <w:style w:type="character" w:styleId="Mention">
    <w:name w:val="Mention"/>
    <w:basedOn w:val="DefaultParagraphFont"/>
    <w:uiPriority w:val="99"/>
    <w:unhideWhenUsed/>
    <w:rsid w:val="001756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e65b96-9c6d-4978-bb1f-e881f993c695">
      <Terms xmlns="http://schemas.microsoft.com/office/infopath/2007/PartnerControls"/>
    </lcf76f155ced4ddcb4097134ff3c332f>
    <_ip_UnifiedCompliancePolicyUIAction xmlns="http://schemas.microsoft.com/sharepoint/v3" xsi:nil="true"/>
    <TaxCatchAll xmlns="61b39957-9d5e-4835-b5de-b3c922b7ec39" xsi:nil="true"/>
    <_ip_UnifiedCompliancePolicyProperties xmlns="http://schemas.microsoft.com/sharepoint/v3" xsi:nil="true"/>
    <_dlc_DocId xmlns="955b5658-c4af-4367-aaf7-f4b787d2e46e">VWMP5RR7HZ5Z-1840268035-1976</_dlc_DocId>
    <_dlc_DocIdUrl xmlns="955b5658-c4af-4367-aaf7-f4b787d2e46e">
      <Url>https://cnsgov.sharepoint.com/sites/ASN/ASN_Hub/_layouts/15/DocIdRedir.aspx?ID=VWMP5RR7HZ5Z-1840268035-1976</Url>
      <Description>VWMP5RR7HZ5Z-1840268035-1976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FA5D674484FC04888B0E60FC1873298" ma:contentTypeVersion="17" ma:contentTypeDescription="Create a new document." ma:contentTypeScope="" ma:versionID="5dcca592e10f21961b8c89485d733ff4">
  <xsd:schema xmlns:xsd="http://www.w3.org/2001/XMLSchema" xmlns:xs="http://www.w3.org/2001/XMLSchema" xmlns:p="http://schemas.microsoft.com/office/2006/metadata/properties" xmlns:ns1="http://schemas.microsoft.com/sharepoint/v3" xmlns:ns2="955b5658-c4af-4367-aaf7-f4b787d2e46e" xmlns:ns3="f0e65b96-9c6d-4978-bb1f-e881f993c695" xmlns:ns4="61b39957-9d5e-4835-b5de-b3c922b7ec39" targetNamespace="http://schemas.microsoft.com/office/2006/metadata/properties" ma:root="true" ma:fieldsID="5855c55928cfeabeeccc04e7b7c994eb" ns1:_="" ns2:_="" ns3:_="" ns4:_="">
    <xsd:import namespace="http://schemas.microsoft.com/sharepoint/v3"/>
    <xsd:import namespace="955b5658-c4af-4367-aaf7-f4b787d2e46e"/>
    <xsd:import namespace="f0e65b96-9c6d-4978-bb1f-e881f993c695"/>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2:SharedWithUsers" minOccurs="0"/>
                <xsd:element ref="ns2:SharedWithDetails" minOccurs="0"/>
                <xsd:element ref="ns1:_ip_UnifiedCompliancePolicyProperties" minOccurs="0"/>
                <xsd:element ref="ns1:_ip_UnifiedCompliancePolicyUIAction" minOccurs="0"/>
                <xsd:element ref="ns4: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e65b96-9c6d-4978-bb1f-e881f993c6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c7efb95-1b1c-49c8-bd78-c5b53728b262}" ma:internalName="TaxCatchAll" ma:showField="CatchAllData" ma:web="84052075-a818-4038-903a-acba6dbef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82369-A1C3-4ECF-8F01-091F099D2CD6}">
  <ds:schemaRefs>
    <ds:schemaRef ds:uri="http://schemas.microsoft.com/office/2006/metadata/properties"/>
    <ds:schemaRef ds:uri="http://schemas.microsoft.com/office/infopath/2007/PartnerControls"/>
    <ds:schemaRef ds:uri="f0e65b96-9c6d-4978-bb1f-e881f993c695"/>
    <ds:schemaRef ds:uri="http://schemas.microsoft.com/sharepoint/v3"/>
    <ds:schemaRef ds:uri="61b39957-9d5e-4835-b5de-b3c922b7ec39"/>
    <ds:schemaRef ds:uri="955b5658-c4af-4367-aaf7-f4b787d2e46e"/>
  </ds:schemaRefs>
</ds:datastoreItem>
</file>

<file path=customXml/itemProps2.xml><?xml version="1.0" encoding="utf-8"?>
<ds:datastoreItem xmlns:ds="http://schemas.openxmlformats.org/officeDocument/2006/customXml" ds:itemID="{756F8B7B-A51E-4EDB-A417-D398405C66B9}">
  <ds:schemaRefs>
    <ds:schemaRef ds:uri="http://schemas.microsoft.com/sharepoint/v3/contenttype/forms"/>
  </ds:schemaRefs>
</ds:datastoreItem>
</file>

<file path=customXml/itemProps3.xml><?xml version="1.0" encoding="utf-8"?>
<ds:datastoreItem xmlns:ds="http://schemas.openxmlformats.org/officeDocument/2006/customXml" ds:itemID="{90F11D0B-273A-4EEC-9D8D-C1C7AF81B56A}">
  <ds:schemaRefs>
    <ds:schemaRef ds:uri="http://schemas.microsoft.com/sharepoint/events"/>
  </ds:schemaRefs>
</ds:datastoreItem>
</file>

<file path=customXml/itemProps4.xml><?xml version="1.0" encoding="utf-8"?>
<ds:datastoreItem xmlns:ds="http://schemas.openxmlformats.org/officeDocument/2006/customXml" ds:itemID="{445CFDA8-DC36-433F-9A00-2691A0DE2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f0e65b96-9c6d-4978-bb1f-e881f993c695"/>
    <ds:schemaRef ds:uri="61b39957-9d5e-4835-b5de-b3c922b7e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39</Pages>
  <Words>10022</Words>
  <Characters>57132</Characters>
  <Application>Microsoft Office Word</Application>
  <DocSecurity>0</DocSecurity>
  <Lines>476</Lines>
  <Paragraphs>134</Paragraphs>
  <ScaleCrop>false</ScaleCrop>
  <Company/>
  <LinksUpToDate>false</LinksUpToDate>
  <CharactersWithSpaces>67020</CharactersWithSpaces>
  <SharedDoc>false</SharedDoc>
  <HLinks>
    <vt:vector size="72" baseType="variant">
      <vt:variant>
        <vt:i4>1507391</vt:i4>
      </vt:variant>
      <vt:variant>
        <vt:i4>68</vt:i4>
      </vt:variant>
      <vt:variant>
        <vt:i4>0</vt:i4>
      </vt:variant>
      <vt:variant>
        <vt:i4>5</vt:i4>
      </vt:variant>
      <vt:variant>
        <vt:lpwstr/>
      </vt:variant>
      <vt:variant>
        <vt:lpwstr>_Toc518377559</vt:lpwstr>
      </vt:variant>
      <vt:variant>
        <vt:i4>1507391</vt:i4>
      </vt:variant>
      <vt:variant>
        <vt:i4>62</vt:i4>
      </vt:variant>
      <vt:variant>
        <vt:i4>0</vt:i4>
      </vt:variant>
      <vt:variant>
        <vt:i4>5</vt:i4>
      </vt:variant>
      <vt:variant>
        <vt:lpwstr/>
      </vt:variant>
      <vt:variant>
        <vt:lpwstr>_Toc518377558</vt:lpwstr>
      </vt:variant>
      <vt:variant>
        <vt:i4>1507391</vt:i4>
      </vt:variant>
      <vt:variant>
        <vt:i4>56</vt:i4>
      </vt:variant>
      <vt:variant>
        <vt:i4>0</vt:i4>
      </vt:variant>
      <vt:variant>
        <vt:i4>5</vt:i4>
      </vt:variant>
      <vt:variant>
        <vt:lpwstr/>
      </vt:variant>
      <vt:variant>
        <vt:lpwstr>_Toc518377557</vt:lpwstr>
      </vt:variant>
      <vt:variant>
        <vt:i4>1507391</vt:i4>
      </vt:variant>
      <vt:variant>
        <vt:i4>50</vt:i4>
      </vt:variant>
      <vt:variant>
        <vt:i4>0</vt:i4>
      </vt:variant>
      <vt:variant>
        <vt:i4>5</vt:i4>
      </vt:variant>
      <vt:variant>
        <vt:lpwstr/>
      </vt:variant>
      <vt:variant>
        <vt:lpwstr>_Toc518377556</vt:lpwstr>
      </vt:variant>
      <vt:variant>
        <vt:i4>1507391</vt:i4>
      </vt:variant>
      <vt:variant>
        <vt:i4>44</vt:i4>
      </vt:variant>
      <vt:variant>
        <vt:i4>0</vt:i4>
      </vt:variant>
      <vt:variant>
        <vt:i4>5</vt:i4>
      </vt:variant>
      <vt:variant>
        <vt:lpwstr/>
      </vt:variant>
      <vt:variant>
        <vt:lpwstr>_Toc518377555</vt:lpwstr>
      </vt:variant>
      <vt:variant>
        <vt:i4>1507391</vt:i4>
      </vt:variant>
      <vt:variant>
        <vt:i4>38</vt:i4>
      </vt:variant>
      <vt:variant>
        <vt:i4>0</vt:i4>
      </vt:variant>
      <vt:variant>
        <vt:i4>5</vt:i4>
      </vt:variant>
      <vt:variant>
        <vt:lpwstr/>
      </vt:variant>
      <vt:variant>
        <vt:lpwstr>_Toc518377554</vt:lpwstr>
      </vt:variant>
      <vt:variant>
        <vt:i4>1507391</vt:i4>
      </vt:variant>
      <vt:variant>
        <vt:i4>32</vt:i4>
      </vt:variant>
      <vt:variant>
        <vt:i4>0</vt:i4>
      </vt:variant>
      <vt:variant>
        <vt:i4>5</vt:i4>
      </vt:variant>
      <vt:variant>
        <vt:lpwstr/>
      </vt:variant>
      <vt:variant>
        <vt:lpwstr>_Toc518377553</vt:lpwstr>
      </vt:variant>
      <vt:variant>
        <vt:i4>1507391</vt:i4>
      </vt:variant>
      <vt:variant>
        <vt:i4>26</vt:i4>
      </vt:variant>
      <vt:variant>
        <vt:i4>0</vt:i4>
      </vt:variant>
      <vt:variant>
        <vt:i4>5</vt:i4>
      </vt:variant>
      <vt:variant>
        <vt:lpwstr/>
      </vt:variant>
      <vt:variant>
        <vt:lpwstr>_Toc518377552</vt:lpwstr>
      </vt:variant>
      <vt:variant>
        <vt:i4>1507391</vt:i4>
      </vt:variant>
      <vt:variant>
        <vt:i4>20</vt:i4>
      </vt:variant>
      <vt:variant>
        <vt:i4>0</vt:i4>
      </vt:variant>
      <vt:variant>
        <vt:i4>5</vt:i4>
      </vt:variant>
      <vt:variant>
        <vt:lpwstr/>
      </vt:variant>
      <vt:variant>
        <vt:lpwstr>_Toc518377551</vt:lpwstr>
      </vt:variant>
      <vt:variant>
        <vt:i4>1507391</vt:i4>
      </vt:variant>
      <vt:variant>
        <vt:i4>14</vt:i4>
      </vt:variant>
      <vt:variant>
        <vt:i4>0</vt:i4>
      </vt:variant>
      <vt:variant>
        <vt:i4>5</vt:i4>
      </vt:variant>
      <vt:variant>
        <vt:lpwstr/>
      </vt:variant>
      <vt:variant>
        <vt:lpwstr>_Toc518377550</vt:lpwstr>
      </vt:variant>
      <vt:variant>
        <vt:i4>1441855</vt:i4>
      </vt:variant>
      <vt:variant>
        <vt:i4>8</vt:i4>
      </vt:variant>
      <vt:variant>
        <vt:i4>0</vt:i4>
      </vt:variant>
      <vt:variant>
        <vt:i4>5</vt:i4>
      </vt:variant>
      <vt:variant>
        <vt:lpwstr/>
      </vt:variant>
      <vt:variant>
        <vt:lpwstr>_Toc518377549</vt:lpwstr>
      </vt:variant>
      <vt:variant>
        <vt:i4>1441855</vt:i4>
      </vt:variant>
      <vt:variant>
        <vt:i4>2</vt:i4>
      </vt:variant>
      <vt:variant>
        <vt:i4>0</vt:i4>
      </vt:variant>
      <vt:variant>
        <vt:i4>5</vt:i4>
      </vt:variant>
      <vt:variant>
        <vt:lpwstr/>
      </vt:variant>
      <vt:variant>
        <vt:lpwstr>_Toc518377548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Bastress Tahmasebi, Jennifer</dc:creator>
  <cp:keywords/>
  <dc:description/>
  <cp:lastModifiedBy>Bastress Tahmasebi, Jennifer</cp:lastModifiedBy>
  <cp:revision>13</cp:revision>
  <dcterms:created xsi:type="dcterms:W3CDTF">2023-08-02T17:20:00Z</dcterms:created>
  <dcterms:modified xsi:type="dcterms:W3CDTF">2023-08-03T14:25:00Z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0x0101002FA5D674484FC04888B0E60FC1873298</vt:lpwstr>
  </property>
  <property fmtid="{D5CDD505-2E9C-101B-9397-08002B2CF9AE}" pid="3" name="_dlc_DocIdItemGuid">
    <vt:lpwstr>dd56821f-06f3-4044-b6bc-6379f877c145</vt:lpwstr>
  </property>
  <property fmtid="{D5CDD505-2E9C-101B-9397-08002B2CF9AE}" pid="4" name="MediaServiceImageTags">
    <vt:lpwstr/>
  </property>
</Properties>
</file>